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w:t>
      </w:r>
    </w:p>
    <w:p>
      <w:pPr>
        <w:spacing w:after="36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9 февраля 2021 года № 36</w:t>
      </w:r>
    </w:p>
    <w:p>
      <w:pPr>
        <w:spacing w:after="120"/>
        <w:jc w:val="both"/>
      </w:pPr>
      <w:r>
        <w:rPr>
          <w:rFonts w:ascii="Arial" w:cs="Arial" w:eastAsia="Arial" w:hAnsi="Arial"/>
          <w:sz w:val="24"/>
          <w:szCs w:val="24"/>
        </w:rPr>
        <w:t xml:space="preserve">О внесении изменений в Положение "О статусе представителей кандидата, политической партии при выборах депутатов местных кенешей Кыргызской Республики", утвержденное постановлением Центральной комиссии по выборам и проведению референдумов Кыргызской Республики от 11 октября 2016 года № 153</w:t>
      </w:r>
    </w:p>
    <w:p>
      <w:pPr>
        <w:spacing w:after="120"/>
        <w:jc w:val="both"/>
      </w:pPr>
      <w:r>
        <w:rPr>
          <w:rFonts w:ascii="Arial" w:cs="Arial" w:eastAsia="Arial" w:hAnsi="Arial"/>
          <w:sz w:val="24"/>
          <w:szCs w:val="24"/>
        </w:rPr>
        <w:t xml:space="preserve">Руководствуясь статьями </w:t>
      </w:r>
      <w:hyperlink w:history="1" r:id="rId7isjdc20xt-nllawgrclt">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0shsg73fiyttlum3cqgoz">
        <w:r>
          <w:rPr>
            <w:rFonts w:ascii="Arial" w:cs="Arial" w:eastAsia="Arial" w:hAnsi="Arial"/>
            <w:color w:val="1D4ED8"/>
            <w:sz w:val="24"/>
            <w:szCs w:val="24"/>
            <w:u w:val="single"/>
          </w:rPr>
          <w:t xml:space="preserve">18</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d4goqg-wr3dodbvyblsg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w:t>
      </w:r>
      <w:r>
        <w:rPr>
          <w:rFonts w:ascii="Arial" w:cs="Arial" w:eastAsia="Arial" w:hAnsi="Arial"/>
          <w:sz w:val="24"/>
          <w:szCs w:val="24"/>
        </w:rPr>
        <w:t xml:space="preserve">Кыргызской Республики "О выборах депутатов местных кенешей", в целях приведения в соответствие с </w:t>
      </w:r>
      <w:hyperlink w:history="1" r:id="rIditxpvjxtfdvj1g8ai5nn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w:t>
      </w:r>
      <w:hyperlink w:history="1" r:id="rId3byx9xyqvj2y7pievvcz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от 8 августа 2019 года № 117,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Внести следующие изменения в </w:t>
      </w:r>
      <w:hyperlink w:history="1" r:id="rIdxav-jxwn6zc2gzdeg73h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статусе представителей кандидата, политической партии при выборах депутатов местных кенешей Кыргызской Республики", утвержденное </w:t>
      </w:r>
      <w:hyperlink w:history="1" r:id="rIdutoc0u4qgflds2aukpss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11 октября 2016 года № 153:</w:t>
      </w:r>
    </w:p>
    <w:p>
      <w:pPr>
        <w:spacing w:after="120"/>
        <w:jc w:val="both"/>
      </w:pPr>
      <w:r>
        <w:rPr>
          <w:rFonts w:ascii="Arial" w:cs="Arial" w:eastAsia="Arial" w:hAnsi="Arial"/>
          <w:sz w:val="24"/>
          <w:szCs w:val="24"/>
        </w:rPr>
        <w:t xml:space="preserve">1) в </w:t>
      </w:r>
      <w:hyperlink w:history="1" r:id="rIdsqodwgxv4ojatjzh-un8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по всему тексту слова "избирательных комиссиях" заменить словами "избирательной комиссии";</w:t>
      </w:r>
    </w:p>
    <w:p>
      <w:pPr>
        <w:spacing w:after="120"/>
        <w:jc w:val="both"/>
      </w:pPr>
      <w:r>
        <w:rPr>
          <w:rFonts w:ascii="Arial" w:cs="Arial" w:eastAsia="Arial" w:hAnsi="Arial"/>
          <w:sz w:val="24"/>
          <w:szCs w:val="24"/>
        </w:rPr>
        <w:t xml:space="preserve">2) пункт 2.4 изложить в следующей редакции:</w:t>
      </w:r>
    </w:p>
    <w:p>
      <w:pPr>
        <w:spacing w:after="120"/>
        <w:jc w:val="both"/>
      </w:pPr>
      <w:r>
        <w:rPr>
          <w:rFonts w:ascii="Arial" w:cs="Arial" w:eastAsia="Arial" w:hAnsi="Arial"/>
          <w:sz w:val="24"/>
          <w:szCs w:val="24"/>
        </w:rPr>
        <w:t xml:space="preserve">"2.4. Представителем в избирательной комиссии не вправе быть:</w:t>
      </w:r>
    </w:p>
    <w:p>
      <w:pPr>
        <w:spacing w:after="120"/>
        <w:jc w:val="both"/>
      </w:pPr>
      <w:r>
        <w:rPr>
          <w:rFonts w:ascii="Arial" w:cs="Arial" w:eastAsia="Arial" w:hAnsi="Arial"/>
          <w:sz w:val="24"/>
          <w:szCs w:val="24"/>
        </w:rPr>
        <w:t xml:space="preserve">- депутаты Жогорку Кенеша, местных кенешей;</w:t>
      </w:r>
    </w:p>
    <w:p>
      <w:pPr>
        <w:spacing w:after="120"/>
        <w:jc w:val="both"/>
      </w:pPr>
      <w:r>
        <w:rPr>
          <w:rFonts w:ascii="Arial" w:cs="Arial" w:eastAsia="Arial" w:hAnsi="Arial"/>
          <w:sz w:val="24"/>
          <w:szCs w:val="24"/>
        </w:rPr>
        <w:t xml:space="preserve">- кандидаты в депутаты Жогорку Кенеша, местных кенешей;</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3) пункт 2.6 изложить в следующей редакции:</w:t>
      </w:r>
    </w:p>
    <w:p>
      <w:pPr>
        <w:spacing w:after="120"/>
        <w:jc w:val="both"/>
      </w:pPr>
      <w:r>
        <w:rPr>
          <w:rFonts w:ascii="Arial" w:cs="Arial" w:eastAsia="Arial" w:hAnsi="Arial"/>
          <w:sz w:val="24"/>
          <w:szCs w:val="24"/>
        </w:rPr>
        <w:t xml:space="preserve">"2.6. Представитель в избирательной комиссии не вправе использовать преимущества своего должностного или служебного положения, если он является членом и (или) учредителем средства массовой информации или интернет-издания, работником государственного или муниципального предприятия, учреждения, предприятия с долей государственного (муниципального) участия более 30 процентов.";</w:t>
      </w:r>
    </w:p>
    <w:p>
      <w:pPr>
        <w:spacing w:after="120"/>
        <w:jc w:val="both"/>
      </w:pPr>
      <w:r>
        <w:rPr>
          <w:rFonts w:ascii="Arial" w:cs="Arial" w:eastAsia="Arial" w:hAnsi="Arial"/>
          <w:sz w:val="24"/>
          <w:szCs w:val="24"/>
        </w:rPr>
        <w:t xml:space="preserve">4) в пункте 2.8.3 слова "могут быть прекращены" заменить на слова "прекращаются";</w:t>
      </w:r>
    </w:p>
    <w:p>
      <w:pPr>
        <w:spacing w:after="120"/>
        <w:jc w:val="both"/>
      </w:pPr>
      <w:r>
        <w:rPr>
          <w:rFonts w:ascii="Arial" w:cs="Arial" w:eastAsia="Arial" w:hAnsi="Arial"/>
          <w:sz w:val="24"/>
          <w:szCs w:val="24"/>
        </w:rPr>
        <w:t xml:space="preserve">5) в пункте 3.1 слова "вправе назначить" заменить словами ", политические партии назначают не более двух";</w:t>
      </w:r>
    </w:p>
    <w:p>
      <w:pPr>
        <w:spacing w:after="120"/>
        <w:jc w:val="both"/>
      </w:pPr>
      <w:r>
        <w:rPr>
          <w:rFonts w:ascii="Arial" w:cs="Arial" w:eastAsia="Arial" w:hAnsi="Arial"/>
          <w:sz w:val="24"/>
          <w:szCs w:val="24"/>
        </w:rPr>
        <w:t xml:space="preserve">6) пункт 3.2 изложить в следующей редакции:</w:t>
      </w:r>
    </w:p>
    <w:p>
      <w:pPr>
        <w:spacing w:after="120"/>
        <w:jc w:val="both"/>
      </w:pPr>
      <w:r>
        <w:rPr>
          <w:rFonts w:ascii="Arial" w:cs="Arial" w:eastAsia="Arial" w:hAnsi="Arial"/>
          <w:sz w:val="24"/>
          <w:szCs w:val="24"/>
        </w:rPr>
        <w:t xml:space="preserve">"3.2. Список уполномоченных представителей кандидата, политической партии представляется в соответствующую избирательную комиссию с указанием полномочий, фамилии, имени, отчества, даты рождения, серии и номера паспорта или заменяющего его документа и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а для уполномоченного представителя кандидата по финансовым вопросам - также права подписи финансовых документов. К указанному списку, представляемому в избирательную комиссию, прилагается также письменное согласие каждого перечисленного лица осуществлять указанную деятельность. При этом кандидат, политическая партия подтверждают соответствие уполномоченного представителя требованиям статьи 21 закона и несут ответственность за представленные сведения в соответствии с законодательством.";</w:t>
      </w:r>
    </w:p>
    <w:p>
      <w:pPr>
        <w:spacing w:after="120"/>
        <w:jc w:val="both"/>
      </w:pPr>
      <w:r>
        <w:rPr>
          <w:rFonts w:ascii="Arial" w:cs="Arial" w:eastAsia="Arial" w:hAnsi="Arial"/>
          <w:sz w:val="24"/>
          <w:szCs w:val="24"/>
        </w:rPr>
        <w:t xml:space="preserve">7) в пункте 3.3. цифру "2" заменить на цифру "3";</w:t>
      </w:r>
    </w:p>
    <w:p>
      <w:pPr>
        <w:spacing w:after="120"/>
        <w:jc w:val="both"/>
      </w:pPr>
      <w:r>
        <w:rPr>
          <w:rFonts w:ascii="Arial" w:cs="Arial" w:eastAsia="Arial" w:hAnsi="Arial"/>
          <w:sz w:val="24"/>
          <w:szCs w:val="24"/>
        </w:rPr>
        <w:t xml:space="preserve">8) пункт 3.4 изложить в следующей редакции:</w:t>
      </w:r>
    </w:p>
    <w:p>
      <w:pPr>
        <w:spacing w:after="120"/>
        <w:jc w:val="both"/>
      </w:pPr>
      <w:r>
        <w:rPr>
          <w:rFonts w:ascii="Arial" w:cs="Arial" w:eastAsia="Arial" w:hAnsi="Arial"/>
          <w:sz w:val="24"/>
          <w:szCs w:val="24"/>
        </w:rPr>
        <w:t xml:space="preserve">"3.4. Уполномоченными представителями не могут быть:</w:t>
      </w:r>
    </w:p>
    <w:p>
      <w:pPr>
        <w:spacing w:after="120"/>
        <w:jc w:val="both"/>
      </w:pPr>
      <w:r>
        <w:rPr>
          <w:rFonts w:ascii="Arial" w:cs="Arial" w:eastAsia="Arial" w:hAnsi="Arial"/>
          <w:sz w:val="24"/>
          <w:szCs w:val="24"/>
        </w:rPr>
        <w:t xml:space="preserve">- депутаты Жогорку Кенеша, местного кенеша;</w:t>
      </w:r>
    </w:p>
    <w:p>
      <w:pPr>
        <w:spacing w:after="120"/>
        <w:jc w:val="both"/>
      </w:pPr>
      <w:r>
        <w:rPr>
          <w:rFonts w:ascii="Arial" w:cs="Arial" w:eastAsia="Arial" w:hAnsi="Arial"/>
          <w:sz w:val="24"/>
          <w:szCs w:val="24"/>
        </w:rPr>
        <w:t xml:space="preserve">- кандидаты в депутаты Жогорку Кенеша, местного кенеша;</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w:t>
      </w:r>
    </w:p>
    <w:p>
      <w:pPr>
        <w:spacing w:after="120"/>
        <w:jc w:val="both"/>
      </w:pPr>
      <w:r>
        <w:rPr>
          <w:rFonts w:ascii="Arial" w:cs="Arial" w:eastAsia="Arial" w:hAnsi="Arial"/>
          <w:sz w:val="24"/>
          <w:szCs w:val="24"/>
        </w:rPr>
        <w:t xml:space="preserve">-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9) пункт 3.6 признать утратившим силу;</w:t>
      </w:r>
    </w:p>
    <w:p>
      <w:pPr>
        <w:spacing w:after="120"/>
        <w:jc w:val="both"/>
      </w:pPr>
      <w:r>
        <w:rPr>
          <w:rFonts w:ascii="Arial" w:cs="Arial" w:eastAsia="Arial" w:hAnsi="Arial"/>
          <w:sz w:val="24"/>
          <w:szCs w:val="24"/>
        </w:rPr>
        <w:t xml:space="preserve">10) пункт 3.7 изложить в следующей редакции:</w:t>
      </w:r>
    </w:p>
    <w:p>
      <w:pPr>
        <w:spacing w:after="120"/>
        <w:jc w:val="both"/>
      </w:pPr>
      <w:r>
        <w:rPr>
          <w:rFonts w:ascii="Arial" w:cs="Arial" w:eastAsia="Arial" w:hAnsi="Arial"/>
          <w:sz w:val="24"/>
          <w:szCs w:val="24"/>
        </w:rPr>
        <w:t xml:space="preserve">"3.7. Уполномоченный представитель:</w:t>
      </w:r>
    </w:p>
    <w:p>
      <w:pPr>
        <w:spacing w:after="120"/>
        <w:jc w:val="both"/>
      </w:pPr>
      <w:r>
        <w:rPr>
          <w:rFonts w:ascii="Arial" w:cs="Arial" w:eastAsia="Arial" w:hAnsi="Arial"/>
          <w:sz w:val="24"/>
          <w:szCs w:val="24"/>
        </w:rPr>
        <w:t xml:space="preserve">1) представляет в соответствующую территориальную избирательную комиссию документы для регистрации кандидата, списка кандидатов;</w:t>
      </w:r>
    </w:p>
    <w:p>
      <w:pPr>
        <w:spacing w:after="120"/>
        <w:jc w:val="both"/>
      </w:pPr>
      <w:r>
        <w:rPr>
          <w:rFonts w:ascii="Arial" w:cs="Arial" w:eastAsia="Arial" w:hAnsi="Arial"/>
          <w:sz w:val="24"/>
          <w:szCs w:val="24"/>
        </w:rPr>
        <w:t xml:space="preserve">2) получает от избирательной комиссии подтверждение в письменной форме (справку) о приеме документов на регистрацию;</w:t>
      </w:r>
    </w:p>
    <w:p>
      <w:pPr>
        <w:spacing w:after="120"/>
        <w:jc w:val="both"/>
      </w:pPr>
      <w:r>
        <w:rPr>
          <w:rFonts w:ascii="Arial" w:cs="Arial" w:eastAsia="Arial" w:hAnsi="Arial"/>
          <w:sz w:val="24"/>
          <w:szCs w:val="24"/>
        </w:rPr>
        <w:t xml:space="preserve">3) проводит предвыборную агитацию, распространяет агитационные материалы;</w:t>
      </w:r>
    </w:p>
    <w:p>
      <w:pPr>
        <w:spacing w:after="120"/>
        <w:jc w:val="both"/>
      </w:pPr>
      <w:r>
        <w:rPr>
          <w:rFonts w:ascii="Arial" w:cs="Arial" w:eastAsia="Arial" w:hAnsi="Arial"/>
          <w:sz w:val="24"/>
          <w:szCs w:val="24"/>
        </w:rPr>
        <w:t xml:space="preserve">4) вправе участвовать в жеребьевках, проводимых избирательными комиссиями при определении порядка предоставления эфирного времени кандидатам, политическим партиям;</w:t>
      </w:r>
    </w:p>
    <w:p>
      <w:pPr>
        <w:spacing w:after="120"/>
        <w:jc w:val="both"/>
      </w:pPr>
      <w:r>
        <w:rPr>
          <w:rFonts w:ascii="Arial" w:cs="Arial" w:eastAsia="Arial" w:hAnsi="Arial"/>
          <w:sz w:val="24"/>
          <w:szCs w:val="24"/>
        </w:rPr>
        <w:t xml:space="preserve">5) вправе присутствовать на заседаниях избирательных комиссий по вопросам, которые имеют отношение к кандидату, политической партии назначивших уполномоченного представителя;</w:t>
      </w:r>
    </w:p>
    <w:p>
      <w:pPr>
        <w:spacing w:after="120"/>
        <w:jc w:val="both"/>
      </w:pPr>
      <w:r>
        <w:rPr>
          <w:rFonts w:ascii="Arial" w:cs="Arial" w:eastAsia="Arial" w:hAnsi="Arial"/>
          <w:sz w:val="24"/>
          <w:szCs w:val="24"/>
        </w:rPr>
        <w:t xml:space="preserve">6) осуществляет иные полномочия по поручению кандидата, политической партии.";</w:t>
      </w:r>
    </w:p>
    <w:p>
      <w:pPr>
        <w:spacing w:after="120"/>
        <w:jc w:val="both"/>
      </w:pPr>
      <w:r>
        <w:rPr>
          <w:rFonts w:ascii="Arial" w:cs="Arial" w:eastAsia="Arial" w:hAnsi="Arial"/>
          <w:sz w:val="24"/>
          <w:szCs w:val="24"/>
        </w:rPr>
        <w:t xml:space="preserve">11) в пункте 3.8 слова "направив копию соответствующего решения в территориальную избирательную комиссию" заменить словами "письменно известив об этом избирательную комиссию, зарегистрировавшую соответствующего уполномоченного представителя";</w:t>
      </w:r>
    </w:p>
    <w:p>
      <w:pPr>
        <w:spacing w:after="120"/>
        <w:jc w:val="both"/>
      </w:pPr>
      <w:r>
        <w:rPr>
          <w:rFonts w:ascii="Arial" w:cs="Arial" w:eastAsia="Arial" w:hAnsi="Arial"/>
          <w:sz w:val="24"/>
          <w:szCs w:val="24"/>
        </w:rPr>
        <w:t xml:space="preserve">12) пункт 3.10 изложить в следующей редакции:</w:t>
      </w:r>
    </w:p>
    <w:p>
      <w:pPr>
        <w:spacing w:after="120"/>
        <w:jc w:val="both"/>
      </w:pPr>
      <w:r>
        <w:rPr>
          <w:rFonts w:ascii="Arial" w:cs="Arial" w:eastAsia="Arial" w:hAnsi="Arial"/>
          <w:sz w:val="24"/>
          <w:szCs w:val="24"/>
        </w:rPr>
        <w:t xml:space="preserve">"3.10. Срок полномочий уполномоченных представителей кандидата истекает с момента утраты статуса кандидата всеми кандидатами, выдвинутыми в составе списка кандидатов политической партией по единому избирательному округу, но не позднее дня официального опубликования результатов выборов. Срок полномочий уполномоченных представителей кандидата, политической партии по финансовым вопросам истекает через 20 календарных дней со дня определения результатов выборов.";</w:t>
      </w:r>
    </w:p>
    <w:p>
      <w:pPr>
        <w:spacing w:after="120"/>
        <w:jc w:val="both"/>
      </w:pPr>
      <w:r>
        <w:rPr>
          <w:rFonts w:ascii="Arial" w:cs="Arial" w:eastAsia="Arial" w:hAnsi="Arial"/>
          <w:sz w:val="24"/>
          <w:szCs w:val="24"/>
        </w:rPr>
        <w:t xml:space="preserve">13) пункт 4.1 изложить в следующей редакции:</w:t>
      </w:r>
    </w:p>
    <w:p>
      <w:pPr>
        <w:spacing w:after="120"/>
        <w:jc w:val="both"/>
      </w:pPr>
      <w:r>
        <w:rPr>
          <w:rFonts w:ascii="Arial" w:cs="Arial" w:eastAsia="Arial" w:hAnsi="Arial"/>
          <w:sz w:val="24"/>
          <w:szCs w:val="24"/>
        </w:rPr>
        <w:t xml:space="preserve">"4.1. Кандидат, политические партии вправе назначать своих доверенных лиц.</w:t>
      </w:r>
    </w:p>
    <w:p>
      <w:pPr>
        <w:spacing w:after="120"/>
        <w:jc w:val="both"/>
      </w:pPr>
      <w:r>
        <w:rPr>
          <w:rFonts w:ascii="Arial" w:cs="Arial" w:eastAsia="Arial" w:hAnsi="Arial"/>
          <w:sz w:val="24"/>
          <w:szCs w:val="24"/>
        </w:rPr>
        <w:t xml:space="preserve">Регистрация доверенных лиц осуществляется незамедлительно избирательной комиссией, зарегистрировавшей кандидата, список кандидатов, на основании письменного заявления кандидата, представления политической партии и заявления самого гражданина о согласии быть доверенным лицом. Избирательная комиссия выдает доверенному лицу удостоверение установленного Центральной избирательной комиссией образца.";</w:t>
      </w:r>
    </w:p>
    <w:p>
      <w:pPr>
        <w:spacing w:after="120"/>
        <w:jc w:val="both"/>
      </w:pPr>
      <w:r>
        <w:rPr>
          <w:rFonts w:ascii="Arial" w:cs="Arial" w:eastAsia="Arial" w:hAnsi="Arial"/>
          <w:sz w:val="24"/>
          <w:szCs w:val="24"/>
        </w:rPr>
        <w:t xml:space="preserve">14) пункт 4.2. изложить в следующей редакции:</w:t>
      </w:r>
    </w:p>
    <w:p>
      <w:pPr>
        <w:spacing w:after="120"/>
        <w:jc w:val="both"/>
      </w:pPr>
      <w:r>
        <w:rPr>
          <w:rFonts w:ascii="Arial" w:cs="Arial" w:eastAsia="Arial" w:hAnsi="Arial"/>
          <w:sz w:val="24"/>
          <w:szCs w:val="24"/>
        </w:rPr>
        <w:t xml:space="preserve">"4.2. Регистрация доверенных лиц осуществляется незамедлительно избирательной комиссией, зарегистрировавшей кандидата, список кандидатов, на основании письменного заявления кандидата, представления политической партии и заявления самого гражданина о согласии быть доверенным лицом. Избирательная комиссия выдает доверенному лицу удостоверение установленного Центральной избирательной комиссией образца.";</w:t>
      </w:r>
    </w:p>
    <w:p>
      <w:pPr>
        <w:spacing w:after="120"/>
        <w:jc w:val="both"/>
      </w:pPr>
      <w:r>
        <w:rPr>
          <w:rFonts w:ascii="Arial" w:cs="Arial" w:eastAsia="Arial" w:hAnsi="Arial"/>
          <w:sz w:val="24"/>
          <w:szCs w:val="24"/>
        </w:rPr>
        <w:t xml:space="preserve">15) пункт 4.3. изложить в следующей редакции:</w:t>
      </w:r>
    </w:p>
    <w:p>
      <w:pPr>
        <w:spacing w:after="120"/>
        <w:jc w:val="both"/>
      </w:pPr>
      <w:r>
        <w:rPr>
          <w:rFonts w:ascii="Arial" w:cs="Arial" w:eastAsia="Arial" w:hAnsi="Arial"/>
          <w:sz w:val="24"/>
          <w:szCs w:val="24"/>
        </w:rPr>
        <w:t xml:space="preserve">"4.3. Доверенными лицами не могут быть:</w:t>
      </w:r>
    </w:p>
    <w:p>
      <w:pPr>
        <w:spacing w:after="120"/>
        <w:jc w:val="both"/>
      </w:pPr>
      <w:r>
        <w:rPr>
          <w:rFonts w:ascii="Arial" w:cs="Arial" w:eastAsia="Arial" w:hAnsi="Arial"/>
          <w:sz w:val="24"/>
          <w:szCs w:val="24"/>
        </w:rPr>
        <w:t xml:space="preserve">- депутаты Жогорку Кенеша, местного кенеша;</w:t>
      </w:r>
    </w:p>
    <w:p>
      <w:pPr>
        <w:spacing w:after="120"/>
        <w:jc w:val="both"/>
      </w:pPr>
      <w:r>
        <w:rPr>
          <w:rFonts w:ascii="Arial" w:cs="Arial" w:eastAsia="Arial" w:hAnsi="Arial"/>
          <w:sz w:val="24"/>
          <w:szCs w:val="24"/>
        </w:rPr>
        <w:t xml:space="preserve">- кандидаты в депутаты Жогорку Кенеша, местного кенеша;</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w:t>
      </w:r>
    </w:p>
    <w:p>
      <w:pPr>
        <w:spacing w:after="120"/>
        <w:jc w:val="both"/>
      </w:pPr>
      <w:r>
        <w:rPr>
          <w:rFonts w:ascii="Arial" w:cs="Arial" w:eastAsia="Arial" w:hAnsi="Arial"/>
          <w:sz w:val="24"/>
          <w:szCs w:val="24"/>
        </w:rPr>
        <w:t xml:space="preserve">-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16) в пункте 4.4 слова "кандидатами в депутаты и/или политической партией" заменить словами "им кандидатами, политическими партиями.";</w:t>
      </w:r>
    </w:p>
    <w:p>
      <w:pPr>
        <w:spacing w:after="120"/>
        <w:jc w:val="both"/>
      </w:pPr>
      <w:r>
        <w:rPr>
          <w:rFonts w:ascii="Arial" w:cs="Arial" w:eastAsia="Arial" w:hAnsi="Arial"/>
          <w:sz w:val="24"/>
          <w:szCs w:val="24"/>
        </w:rPr>
        <w:t xml:space="preserve">17) в пункте 4.7 слова "политические партии, кандидаты из списка кандидатов в депутаты от политической партии, кандидаты, выдвинутые путем самовыдвижения" заменить словами "кандидаты, политические партии, назначившие доверенных лиц";</w:t>
      </w:r>
    </w:p>
    <w:p>
      <w:pPr>
        <w:spacing w:after="120"/>
        <w:jc w:val="both"/>
      </w:pPr>
      <w:r>
        <w:rPr>
          <w:rFonts w:ascii="Arial" w:cs="Arial" w:eastAsia="Arial" w:hAnsi="Arial"/>
          <w:sz w:val="24"/>
          <w:szCs w:val="24"/>
        </w:rPr>
        <w:t xml:space="preserve">18) пункт 4.8 изложить в следующей редакции:</w:t>
      </w:r>
    </w:p>
    <w:p>
      <w:pPr>
        <w:spacing w:after="120"/>
        <w:jc w:val="both"/>
      </w:pPr>
      <w:r>
        <w:rPr>
          <w:rFonts w:ascii="Arial" w:cs="Arial" w:eastAsia="Arial" w:hAnsi="Arial"/>
          <w:sz w:val="24"/>
          <w:szCs w:val="24"/>
        </w:rPr>
        <w:t xml:space="preserve">"4.8. Полномочия доверенных лиц прекращаются по обстоятельствам, указанным в пункта 4.7. настоящего положения, либо вместе с утратой статуса уполномочившим их зарегистрированными кандидатом политической партией, выдвинувшей кандидатов, а также политической партией выдвинувшей список кандидатов.";</w:t>
      </w:r>
    </w:p>
    <w:p>
      <w:pPr>
        <w:spacing w:after="120"/>
        <w:jc w:val="both"/>
      </w:pPr>
      <w:r>
        <w:rPr>
          <w:rFonts w:ascii="Arial" w:cs="Arial" w:eastAsia="Arial" w:hAnsi="Arial"/>
          <w:sz w:val="24"/>
          <w:szCs w:val="24"/>
        </w:rPr>
        <w:t xml:space="preserve">19) пункт 5.1 изложить в следующей редакции:</w:t>
      </w:r>
    </w:p>
    <w:p>
      <w:pPr>
        <w:spacing w:after="120"/>
        <w:jc w:val="both"/>
      </w:pPr>
      <w:r>
        <w:rPr>
          <w:rFonts w:ascii="Arial" w:cs="Arial" w:eastAsia="Arial" w:hAnsi="Arial"/>
          <w:sz w:val="24"/>
          <w:szCs w:val="24"/>
        </w:rPr>
        <w:t xml:space="preserve">"5.1. Кандидат, политическая партия, выдвинувшая кандидатов вправе назначать наблюдателя, который вправе осуществлять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120"/>
        <w:jc w:val="both"/>
      </w:pPr>
      <w:r>
        <w:rPr>
          <w:rFonts w:ascii="Arial" w:cs="Arial" w:eastAsia="Arial" w:hAnsi="Arial"/>
          <w:sz w:val="24"/>
          <w:szCs w:val="24"/>
        </w:rPr>
        <w:t xml:space="preserve">20) предложение третье и четвертое пункта 5.2. изложить в следующей редакции:</w:t>
      </w:r>
    </w:p>
    <w:p>
      <w:pPr>
        <w:spacing w:after="120"/>
        <w:jc w:val="both"/>
      </w:pPr>
      <w:r>
        <w:rPr>
          <w:rFonts w:ascii="Arial" w:cs="Arial" w:eastAsia="Arial" w:hAnsi="Arial"/>
          <w:sz w:val="24"/>
          <w:szCs w:val="24"/>
        </w:rPr>
        <w:t xml:space="preserve">"Направление считается действительным при наличии подписи кандидата или печати политической партии и предъявлении паспорта или заменяющего его документа.";</w:t>
      </w:r>
    </w:p>
    <w:p>
      <w:pPr>
        <w:spacing w:after="120"/>
        <w:jc w:val="both"/>
      </w:pPr>
      <w:r>
        <w:rPr>
          <w:rFonts w:ascii="Arial" w:cs="Arial" w:eastAsia="Arial" w:hAnsi="Arial"/>
          <w:sz w:val="24"/>
          <w:szCs w:val="24"/>
        </w:rPr>
        <w:t xml:space="preserve">21) подпункт 17 пункта 5.4. изложить в следующей редакции:</w:t>
      </w:r>
    </w:p>
    <w:p>
      <w:pPr>
        <w:spacing w:after="120"/>
        <w:jc w:val="both"/>
      </w:pPr>
      <w:r>
        <w:rPr>
          <w:rFonts w:ascii="Arial" w:cs="Arial" w:eastAsia="Arial" w:hAnsi="Arial"/>
          <w:sz w:val="24"/>
          <w:szCs w:val="24"/>
        </w:rPr>
        <w:t xml:space="preserve">"17)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120"/>
        <w:jc w:val="both"/>
      </w:pPr>
      <w:r>
        <w:rPr>
          <w:rFonts w:ascii="Arial" w:cs="Arial" w:eastAsia="Arial" w:hAnsi="Arial"/>
          <w:sz w:val="24"/>
          <w:szCs w:val="24"/>
        </w:rPr>
        <w:t xml:space="preserve">22) в абзаце седьмом пункта 6.2 после слов "пропаганда войны;" дополнить словами "проведение публичных мероприятий с государственными и политическими деятелями других государств с освещением в средствах массовой информации;";</w:t>
      </w:r>
    </w:p>
    <w:p>
      <w:pPr>
        <w:spacing w:after="120"/>
        <w:jc w:val="both"/>
      </w:pPr>
      <w:r>
        <w:rPr>
          <w:rFonts w:ascii="Arial" w:cs="Arial" w:eastAsia="Arial" w:hAnsi="Arial"/>
          <w:sz w:val="24"/>
          <w:szCs w:val="24"/>
        </w:rPr>
        <w:t xml:space="preserve">23) пункт 6.6 изложить в следующей редакции:</w:t>
      </w:r>
    </w:p>
    <w:p>
      <w:pPr>
        <w:spacing w:after="120"/>
        <w:jc w:val="both"/>
      </w:pPr>
      <w:r>
        <w:rPr>
          <w:rFonts w:ascii="Arial" w:cs="Arial" w:eastAsia="Arial" w:hAnsi="Arial"/>
          <w:sz w:val="24"/>
          <w:szCs w:val="24"/>
        </w:rPr>
        <w:t xml:space="preserve">"6.6. Представитель в праве обратиться с заявлением на решения и (или) действия (бездействие) государственных и иных органов, их должностных лиц, других субъектов избирательного процесса, нарушающие избирательные права субъектов избирательного процесса (кандидат включенный в список кандидатов, политическая партия, представитель политической партии в избирательной комиссии), требования </w:t>
      </w:r>
      <w:hyperlink w:history="1" r:id="rIdkpdwl1ipvdu3beeux3bg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могут обратиться в органы прокуратуры, органы внутренних дел, избирательные комиссии или суд в соответствии с законодательством Кыргызской Республики.</w:t>
      </w:r>
    </w:p>
    <w:p>
      <w:pPr>
        <w:spacing w:after="120"/>
        <w:jc w:val="both"/>
      </w:pPr>
      <w:r>
        <w:rPr>
          <w:rFonts w:ascii="Arial" w:cs="Arial" w:eastAsia="Arial" w:hAnsi="Arial"/>
          <w:sz w:val="24"/>
          <w:szCs w:val="24"/>
        </w:rPr>
        <w:t xml:space="preserve">Решения и (или) действия (бездействие) избирательных комиссий, их должностных лиц, нарушающие избирательные права субъектов избирательного процесса, могут быть обжалованы в вышестоящую избирательную комиссию, решения и (или) действия (бездействие) Центральной избирательной комиссии - в суд.".</w:t>
      </w:r>
    </w:p>
    <w:p>
      <w:pPr>
        <w:spacing w:after="120"/>
        <w:jc w:val="both"/>
      </w:pPr>
      <w:r>
        <w:rPr>
          <w:rFonts w:ascii="Arial" w:cs="Arial" w:eastAsia="Arial" w:hAnsi="Arial"/>
          <w:sz w:val="24"/>
          <w:szCs w:val="24"/>
        </w:rPr>
        <w:t xml:space="preserve">Примечание ИЦ "Токтом": Количество абзацев в пункте 1 настоящего постановления не соответствует количеству абзацев в пункте 1 текста на государственном языке.</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Н.Шайлдабекова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g7z4i9ududdqqcxpies0">
      <w:r>
        <w:rPr>
          <w:rFonts w:ascii="Arial" w:cs="Arial" w:eastAsia="Arial" w:hAnsi="Arial"/>
          <w:color w:val="132D3F"/>
          <w:sz w:val="16"/>
          <w:szCs w:val="16"/>
          <w:u w:val="single"/>
        </w:rPr>
        <w:t xml:space="preserve">dalil.kg/document/600249</w:t>
      </w:r>
    </w:hyperlink>
  </w:p>
  <w:p>
    <w:pPr>
      <w:spacing w:after="0" w:before="40"/>
      <w:jc w:val="center"/>
    </w:pPr>
    <w:hyperlink w:history="1" r:id="rIdx5u1xujvfzy_eukgrmz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isjdc20xt-nllawgrclt" Type="http://schemas.openxmlformats.org/officeDocument/2006/relationships/hyperlink" Target="https://dalil.kg/document/203100#st_7" TargetMode="External"/><Relationship Id="rId0shsg73fiyttlum3cqgoz" Type="http://schemas.openxmlformats.org/officeDocument/2006/relationships/hyperlink" Target="https://dalil.kg/document/203100#st_18" TargetMode="External"/><Relationship Id="rIdd4goqg-wr3dodbvyblsgf" Type="http://schemas.openxmlformats.org/officeDocument/2006/relationships/hyperlink" Target="https://dalil.kg/document/203103" TargetMode="External"/><Relationship Id="rIditxpvjxtfdvj1g8ai5nno" Type="http://schemas.openxmlformats.org/officeDocument/2006/relationships/hyperlink" Target="https://dalil.kg/document/111964" TargetMode="External"/><Relationship Id="rId3byx9xyqvj2y7pievvczm" Type="http://schemas.openxmlformats.org/officeDocument/2006/relationships/hyperlink" Target="https://dalil.kg/document/203103" TargetMode="External"/><Relationship Id="rIdxav-jxwn6zc2gzdeg73hg" Type="http://schemas.openxmlformats.org/officeDocument/2006/relationships/hyperlink" Target="https://dalil.kg/document/30533" TargetMode="External"/><Relationship Id="rIdutoc0u4qgflds2aukpssl" Type="http://schemas.openxmlformats.org/officeDocument/2006/relationships/hyperlink" Target="https://dalil.kg/document/30532" TargetMode="External"/><Relationship Id="rIdsqodwgxv4ojatjzh-un8m" Type="http://schemas.openxmlformats.org/officeDocument/2006/relationships/hyperlink" Target="https://dalil.kg/document/30533" TargetMode="External"/><Relationship Id="rIdkpdwl1ipvdu3beeux3bgj"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g7z4i9ududdqqcxpies0" Type="http://schemas.openxmlformats.org/officeDocument/2006/relationships/hyperlink" Target="https://dalil.kg/document/600249" TargetMode="External"/><Relationship Id="rIdx5u1xujvfzy_eukgrmz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2026-10-01T11:18:58.586Z</dcterms:created>
  <dcterms:modified xsi:type="dcterms:W3CDTF">2026-10-01T11:18:58.587Z</dcterms:modified>
</cp:coreProperties>
</file>

<file path=docProps/custom.xml><?xml version="1.0" encoding="utf-8"?>
<Properties xmlns="http://schemas.openxmlformats.org/officeDocument/2006/custom-properties" xmlns:vt="http://schemas.openxmlformats.org/officeDocument/2006/docPropsVTypes"/>
</file>