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основных мероприятий по подготовке и проведении референдума (всенародного голосования) по проекту Закона Кыргызской Республики «О Конституции Кыргызской Республики», назначенного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11 апреля 2021 года референдумом, назначенным </w:t>
      </w:r>
      <w:hyperlink w:history="1" r:id="rIda0t0j4pkg8ffchnoii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“О назначении референдума (всенародного голосования) по проекту Закона Кыргызской Республики «О Конституции Кыргызской Республики» от 12 марта 2021 года № 31, в соответствии с конституционным </w:t>
      </w:r>
      <w:hyperlink w:history="1" r:id="rIdyfsqe-dpzd6qub1hdxx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референдуме Кыргызской Республики», в целях организации подготовки и проведения референдума Кыргызской Республики, руководствуясь статьей </w:t>
      </w:r>
      <w:hyperlink w:history="1" r:id="rIdvppoardkbr7o4gyglps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5i0i-dpbdcyshvhbd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Календарный план</w:t>
      </w:r>
      <w:r>
        <w:rPr>
          <w:rFonts w:ascii="Arial" w:cs="Arial" w:eastAsia="Arial" w:hAnsi="Arial"/>
          <w:sz w:val="24"/>
          <w:szCs w:val="24"/>
        </w:rPr>
        <w:t xml:space="preserve"> основных мероприятий по подготовке и проведению референдума (всенародного голосования) по проекту Закона Кыргызской Республики «О Конституции Кыргызской Республики», назначенного на 11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Издать Календарный план основных мероприятий по подготовке и проведению референдума (всенародного голосования) по проекту Закона Кыргызской Республики «О Конституции Кыргызской Республики», назначенного на 11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 Календарный план основных мероприятий по подготовке и проведению референдума (всенародного голосования) по проекту Закона Кыргызской Республики «О Конституции Кыргызской Республики», назначенного на 11 апреля 2021 года, нижестоящим избирательным комиссиям для организации работы по подготовке и проведению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h_nvgjieevn3v85nv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dalil.kg/document/600262</w:t>
      </w:r>
    </w:hyperlink>
  </w:p>
  <w:p>
    <w:pPr>
      <w:spacing w:after="0" w:before="40"/>
      <w:jc w:val="center"/>
    </w:pPr>
    <w:hyperlink w:history="1" r:id="rIduj0zjfcmeamjybve0qf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t0j4pkg8ffchnoiinuh" Type="http://schemas.openxmlformats.org/officeDocument/2006/relationships/hyperlink" Target="https://dalil.kg/document/112190" TargetMode="External"/><Relationship Id="rIdyfsqe-dpzd6qub1hdxxcu" Type="http://schemas.openxmlformats.org/officeDocument/2006/relationships/hyperlink" Target="https://dalil.kg/document/111452" TargetMode="External"/><Relationship Id="rIdvppoardkbr7o4gyglpslf" Type="http://schemas.openxmlformats.org/officeDocument/2006/relationships/hyperlink" Target="https://dalil.kg/document/203100#st_7" TargetMode="External"/><Relationship Id="rIdwl5i0i-dpbdcyshvhbd0l" Type="http://schemas.openxmlformats.org/officeDocument/2006/relationships/hyperlink" Target="https://dalil.kg/document/20310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h_nvgjieevn3v85nvub" Type="http://schemas.openxmlformats.org/officeDocument/2006/relationships/hyperlink" Target="https://dalil.kg/document/600262" TargetMode="External"/><Relationship Id="rIduj0zjfcmeamjybve0qf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2026-10-01T09:22:30.730Z</dcterms:created>
  <dcterms:modified xsi:type="dcterms:W3CDTF">2026-10-01T09:22:30.730Z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