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svfil3_2u5phgllacf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21 января 2009 года №30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 Перечень специальных средств,  не подлежащих изъятию в</w:t>
      </w:r>
    </w:p>
    <w:p>
      <w:r>
        <w:rPr>
          <w:rFonts w:ascii="Arial" w:cs="Arial" w:eastAsia="Arial" w:hAnsi="Arial"/>
          <w:sz w:val="24"/>
          <w:szCs w:val="24"/>
        </w:rPr>
        <w:t xml:space="preserve">доход республиканского бюджета,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28 августа 2000 года № 531 "О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средствах и депозитных суммах учреждений, 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Республики",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пунктом 34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"34. Средства Государственного агентства по антимонопольной  поли-</w:t>
      </w:r>
    </w:p>
    <w:p>
      <w:r>
        <w:rPr>
          <w:rFonts w:ascii="Arial" w:cs="Arial" w:eastAsia="Arial" w:hAnsi="Arial"/>
          <w:sz w:val="24"/>
          <w:szCs w:val="24"/>
        </w:rPr>
        <w:t xml:space="preserve">тике и развитию конкуренции при Правительстве Кыргызской Республики.".</w:t>
      </w:r>
    </w:p>
    <w:p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5hvlox6-npxu1joz8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</w:t>
      </w:r>
    </w:hyperlink>
  </w:p>
  <w:p>
    <w:pPr>
      <w:spacing w:after="0" w:before="40"/>
      <w:jc w:val="center"/>
    </w:pPr>
    <w:hyperlink w:history="1" r:id="rIdndztbvrheskefemlsth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vfil3_2u5phgllacf8t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5hvlox6-npxu1joz8gu" Type="http://schemas.openxmlformats.org/officeDocument/2006/relationships/hyperlink" Target="https://dalil.kg/document/60046" TargetMode="External"/><Relationship Id="rIdndztbvrheskefemlsth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2026-09-25T02:36:50.847Z</dcterms:created>
  <dcterms:modified xsi:type="dcterms:W3CDTF">2026-09-25T02:36:50.847Z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