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penbwlphagydnyidx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14 ноября 2025 года № 139</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15 ноября 2021 года № 786</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от 26 июня 2020 года № 121</w:t>
      </w:r>
    </w:p>
    <w:p>
      <w:pPr>
        <w:spacing w:after="120"/>
        <w:jc w:val="both"/>
      </w:pPr>
      <w:r>
        <w:rPr>
          <w:rFonts w:ascii="Arial" w:cs="Arial" w:eastAsia="Arial" w:hAnsi="Arial"/>
          <w:sz w:val="24"/>
          <w:szCs w:val="24"/>
        </w:rPr>
        <w:t xml:space="preserve">В соответствии с </w:t>
      </w:r>
      <w:hyperlink w:history="1" r:id="rIdd-icewec2qzhyqexvxsv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 от 26 августа 2021 года № 103, руководствуясь статьями </w:t>
      </w:r>
      <w:hyperlink w:history="1" r:id="rId-qhmjhehperda4wm5ur2r">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ob9he79avvf5od46u-5ti">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ba2h-xdeiozzpiq0k_m8s">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постановление Центральной комиссии по выборам и проведению референдумов Кыргызской Республики "О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от 26 июня 2020 года № 121 следующие изменения:</w:t>
      </w:r>
    </w:p>
    <w:p>
      <w:pPr>
        <w:spacing w:after="120"/>
        <w:jc w:val="both"/>
      </w:pPr>
      <w:r>
        <w:rPr>
          <w:rFonts w:ascii="Arial" w:cs="Arial" w:eastAsia="Arial" w:hAnsi="Arial"/>
          <w:sz w:val="24"/>
          <w:szCs w:val="24"/>
        </w:rPr>
        <w:t xml:space="preserve">1) в преамбуле постановления слова "статьями 7 и 18 Закона Кыргызской Республики "Об избирательных комиссиях по проведению выборов и референдумов Кыргызской Республики" заменить словами "статьями </w:t>
      </w:r>
      <w:hyperlink w:history="1" r:id="rId51xbnsreuia1e_eke5kn8">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m5vb9lmslpdf1uagelpth">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2) в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5:</w:t>
      </w:r>
    </w:p>
    <w:p>
      <w:pPr>
        <w:spacing w:after="120"/>
        <w:jc w:val="both"/>
      </w:pPr>
      <w:r>
        <w:rPr>
          <w:rFonts w:ascii="Arial" w:cs="Arial" w:eastAsia="Arial" w:hAnsi="Arial"/>
          <w:sz w:val="24"/>
          <w:szCs w:val="24"/>
        </w:rPr>
        <w:t xml:space="preserve">дополнить подпунктом 1-1 следующего содержания:</w:t>
      </w:r>
    </w:p>
    <w:p>
      <w:pPr>
        <w:spacing w:after="120"/>
        <w:jc w:val="both"/>
      </w:pPr>
      <w:r>
        <w:rPr>
          <w:rFonts w:ascii="Arial" w:cs="Arial" w:eastAsia="Arial" w:hAnsi="Arial"/>
          <w:sz w:val="24"/>
          <w:szCs w:val="24"/>
        </w:rPr>
        <w:t xml:space="preserve">"1-1) окружные избирательные комиссии по выборам депутатов Жогорку Кенеша Кыргызской Республики (далее - окружные избирательные комиссии);";</w:t>
      </w:r>
    </w:p>
    <w:p>
      <w:pPr>
        <w:spacing w:after="120"/>
        <w:jc w:val="both"/>
      </w:pPr>
      <w:r>
        <w:rPr>
          <w:rFonts w:ascii="Arial" w:cs="Arial" w:eastAsia="Arial" w:hAnsi="Arial"/>
          <w:sz w:val="24"/>
          <w:szCs w:val="24"/>
        </w:rPr>
        <w:t xml:space="preserve">в абзаце четвертом слова "Кандидаты политических партий" заменить словами "Кандидаты, кандидаты политических партий";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кандидаты, кандидаты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sz w:val="24"/>
          <w:szCs w:val="24"/>
        </w:rPr>
        <w:t xml:space="preserve">- в абзацах пятом и шестом пункта 6 слова "кандидатов политических партий" заменить словами "кандидатов, политических партий";</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в абзаце втором слова "территориальной избирательной комиссии" заменить словами "окружной, территориальной избирательной комиссии";</w:t>
      </w:r>
    </w:p>
    <w:p>
      <w:pPr>
        <w:spacing w:after="120"/>
        <w:jc w:val="both"/>
      </w:pPr>
      <w:r>
        <w:rPr>
          <w:rFonts w:ascii="Arial" w:cs="Arial" w:eastAsia="Arial" w:hAnsi="Arial"/>
          <w:sz w:val="24"/>
          <w:szCs w:val="24"/>
        </w:rPr>
        <w:t xml:space="preserve">в абзаце четвертом слова "территориальными избирательными комиссиями" заменить словами "территориальными, окружными избирательными комиссиями";</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В помещении для голосования избирательная комиссия оборудует стенд, на котором размещаются информационные материалы о всех кандидатах, политических партиях, зарегистрировавших списки кандидатов, с указанием порядкового номера каждого кандидата. Форма информационных материалов утверждается Центральной избирательной комиссией.</w:t>
      </w:r>
    </w:p>
    <w:p>
      <w:pPr>
        <w:spacing w:after="120"/>
        <w:jc w:val="both"/>
      </w:pPr>
      <w:r>
        <w:rPr>
          <w:rFonts w:ascii="Arial" w:cs="Arial" w:eastAsia="Arial" w:hAnsi="Arial"/>
          <w:sz w:val="24"/>
          <w:szCs w:val="24"/>
        </w:rPr>
        <w:t xml:space="preserve">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наименование политических партий.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В случае выбытия кандидата, кандидата из списка кандидатов политической партии после утверждения формы и текста информационных материалов, сведения о кандидате вычеркиваются в информационных материалах в полном объеме, включая порядковый номер в списке кандидатов.";</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Сведения о зарегистрированных кандидатах, кандидатах политических партий,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 во втором предложении пункта 11 слова "Кандидатам политических партий" заменить словам "Кандидатам, политическим партиям";</w:t>
      </w:r>
    </w:p>
    <w:p>
      <w:pPr>
        <w:spacing w:after="120"/>
        <w:jc w:val="both"/>
      </w:pPr>
      <w:r>
        <w:rPr>
          <w:rFonts w:ascii="Arial" w:cs="Arial" w:eastAsia="Arial" w:hAnsi="Arial"/>
          <w:sz w:val="24"/>
          <w:szCs w:val="24"/>
        </w:rPr>
        <w:t xml:space="preserve">- абзац второй пункта 16 изложить в следующей редакции:</w:t>
      </w:r>
    </w:p>
    <w:p>
      <w:pPr>
        <w:spacing w:after="120"/>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На выборах депутатов Жогорку Кенеша Кыргызской Республики необходимо наличие двух переносных ящиков отдельно по каждому виду голосования (по единому и одномандатному округам).";</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секретарь и операторы избирательного оборудования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На выборах депутатов Жогорку Кенеша Кыргызской Республики реестр избирателей, подавших письменное заявление, ведется отдельно по каждому виду голосования (по единому и одномандатному округам).";</w:t>
      </w:r>
    </w:p>
    <w:p>
      <w:pPr>
        <w:spacing w:after="120"/>
        <w:jc w:val="both"/>
      </w:pPr>
      <w:r>
        <w:rPr>
          <w:rFonts w:ascii="Arial" w:cs="Arial" w:eastAsia="Arial" w:hAnsi="Arial"/>
          <w:sz w:val="24"/>
          <w:szCs w:val="24"/>
        </w:rPr>
        <w:t xml:space="preserve">- во втором предложении пункта 24 слова "политических партий" заменить словам "кандидатов и политических партий";</w:t>
      </w:r>
    </w:p>
    <w:p>
      <w:pPr>
        <w:spacing w:after="120"/>
        <w:jc w:val="both"/>
      </w:pPr>
      <w:r>
        <w:rPr>
          <w:rFonts w:ascii="Arial" w:cs="Arial" w:eastAsia="Arial" w:hAnsi="Arial"/>
          <w:sz w:val="24"/>
          <w:szCs w:val="24"/>
        </w:rPr>
        <w:t xml:space="preserve">- абзац второй пункта 28 изложить в следующей редакции:</w:t>
      </w:r>
    </w:p>
    <w:p>
      <w:pPr>
        <w:spacing w:after="120"/>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политических партий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jc w:val="both"/>
      </w:pPr>
      <w:r>
        <w:rPr>
          <w:rFonts w:ascii="Arial" w:cs="Arial" w:eastAsia="Arial" w:hAnsi="Arial"/>
          <w:sz w:val="24"/>
          <w:szCs w:val="24"/>
        </w:rPr>
        <w:t xml:space="preserve">- абзац второй пункта 31 изложить в следующей редакции:</w:t>
      </w:r>
    </w:p>
    <w:p>
      <w:pPr>
        <w:spacing w:after="120"/>
        <w:jc w:val="both"/>
      </w:pPr>
      <w:r>
        <w:rPr>
          <w:rFonts w:ascii="Arial" w:cs="Arial" w:eastAsia="Arial" w:hAnsi="Arial"/>
          <w:sz w:val="24"/>
          <w:szCs w:val="24"/>
        </w:rPr>
        <w:t xml:space="preserve">"При этом председатель, секретарь участковой избирательной комиссии и операторы избирательного оборудования в жеребьевке не участвуют.";</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устройстве.";</w:t>
      </w:r>
    </w:p>
    <w:p>
      <w:pPr>
        <w:spacing w:after="120"/>
        <w:jc w:val="both"/>
      </w:pPr>
      <w:r>
        <w:rPr>
          <w:rFonts w:ascii="Arial" w:cs="Arial" w:eastAsia="Arial" w:hAnsi="Arial"/>
          <w:sz w:val="24"/>
          <w:szCs w:val="24"/>
        </w:rPr>
        <w:t xml:space="preserve">- в первом предложении пункта 33 слова "кандидатов политических партий" заменить словами "кандидатов, политических партий";</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В помещении для голосования члены участковой избирательной комиссии, определенные путем жеребьевки совместно с операторами, проводят идентификацию избирателя по его биометрическим и персональным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 политических партий.</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jc w:val="both"/>
      </w:pPr>
      <w:r>
        <w:rPr>
          <w:rFonts w:ascii="Arial" w:cs="Arial" w:eastAsia="Arial" w:hAnsi="Arial"/>
          <w:sz w:val="24"/>
          <w:szCs w:val="24"/>
        </w:rPr>
        <w:t xml:space="preserve">- фотография избирателя,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(на выборах депутатов Жогорку Кенеша избирателю выдаются два чека: один по единому избирательному округу и один по одномандатному избирательному округу в зависимости от включения в соответствующий список избирателей). Чек предъявляется избирателем члену участковой избирательной комиссии, который выдает ему бюллетень для голосования в обмен на чек. На выборах депутата Жогорку Кенеша избирателю выдаются два избирательных бюллетеня: один по единому избирательному округу и один по одномандатному избирательному округу.</w:t>
      </w:r>
    </w:p>
    <w:p>
      <w:pPr>
        <w:spacing w:after="120"/>
        <w:jc w:val="both"/>
      </w:pPr>
      <w:r>
        <w:rPr>
          <w:rFonts w:ascii="Arial" w:cs="Arial" w:eastAsia="Arial" w:hAnsi="Arial"/>
          <w:sz w:val="24"/>
          <w:szCs w:val="24"/>
        </w:rPr>
        <w:t xml:space="preserve">Членам участковой избирательной комиссии и операторам биометрической идентификации запрещается передавать данные о списках проголосовавших (не проголосовавших) третьим лицам.</w:t>
      </w:r>
    </w:p>
    <w:p>
      <w:pPr>
        <w:spacing w:after="120"/>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процесс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120"/>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sz w:val="24"/>
          <w:szCs w:val="24"/>
        </w:rPr>
        <w:t xml:space="preserve">- пункт 37 изложить в следующей редакции:</w:t>
      </w:r>
    </w:p>
    <w:p>
      <w:pPr>
        <w:spacing w:after="120"/>
        <w:jc w:val="both"/>
      </w:pPr>
      <w:r>
        <w:rPr>
          <w:rFonts w:ascii="Arial" w:cs="Arial" w:eastAsia="Arial" w:hAnsi="Arial"/>
          <w:sz w:val="24"/>
          <w:szCs w:val="24"/>
        </w:rPr>
        <w:t xml:space="preserve">"37. 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ящики для голосования, передаются в Центральную избирательную комиссию сразу же после закрытия избирательных участков, но до вскрытия урн с бюллетенями.";</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одномандатному избирательному округу избиратель ставит в избирательном бюллетене соответствующую отметку в квадрате, относящемуся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единому избирательному округу избиратель ставит в первой части избирательного бюллетеня соответствующую отметку в одном квадрате, относящемуся к политической партии. Во второй части избирательного бюллетеня, избиратель ставит отметку в одном квадрате, относящемуся к порядковому номеру соответствующего кандидата, в пользу которого сделан выбор. В случае, если избиратель не делает свой выбор в пользу ни одной политической партии, то ставит отметку в квадрате к позиции "Против всех".</w:t>
      </w:r>
    </w:p>
    <w:p>
      <w:pPr>
        <w:spacing w:after="120"/>
        <w:jc w:val="both"/>
      </w:pPr>
      <w:r>
        <w:rPr>
          <w:rFonts w:ascii="Arial" w:cs="Arial" w:eastAsia="Arial" w:hAnsi="Arial"/>
          <w:sz w:val="24"/>
          <w:szCs w:val="24"/>
        </w:rPr>
        <w:t xml:space="preserve">Отметка, проставленная вне квадрата, не засчитывается.";</w:t>
      </w:r>
    </w:p>
    <w:p>
      <w:pPr>
        <w:spacing w:after="120"/>
        <w:jc w:val="both"/>
      </w:pPr>
      <w:r>
        <w:rPr>
          <w:rFonts w:ascii="Arial" w:cs="Arial" w:eastAsia="Arial" w:hAnsi="Arial"/>
          <w:sz w:val="24"/>
          <w:szCs w:val="24"/>
        </w:rPr>
        <w:t xml:space="preserve">- пункт 46 изложить в следующей редакции:</w:t>
      </w:r>
    </w:p>
    <w:p>
      <w:pPr>
        <w:spacing w:after="120"/>
        <w:jc w:val="both"/>
      </w:pPr>
      <w:r>
        <w:rPr>
          <w:rFonts w:ascii="Arial" w:cs="Arial" w:eastAsia="Arial" w:hAnsi="Arial"/>
          <w:sz w:val="24"/>
          <w:szCs w:val="24"/>
        </w:rPr>
        <w:t xml:space="preserve">"46. На выборах депутатов Жогорку Кенеша в помещении для голосования, устанавливаются две отдельные автоматически считывающие урны.</w:t>
      </w:r>
    </w:p>
    <w:p>
      <w:pPr>
        <w:spacing w:after="120"/>
        <w:jc w:val="both"/>
      </w:pPr>
      <w:r>
        <w:rPr>
          <w:rFonts w:ascii="Arial" w:cs="Arial" w:eastAsia="Arial" w:hAnsi="Arial"/>
          <w:sz w:val="24"/>
          <w:szCs w:val="24"/>
        </w:rPr>
        <w:t xml:space="preserve">Заполненные избирательные бюллетени опускаются избирателями в соответствующие опечатанные (опломбированные) ящики для голосования для выборов Президента Кыргызской Республики, для выборов депутатов Жогорку Кенеша по одномандатному избирательному округу и для выборов депутатов Жогорку Кенеша по единому избирательному округу. Запрещается выносить избирательный бюллетень из помещения для голосования.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(оператор).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В случае сбоя автоматически считывающей урны в день выборов оператор автоматически считывающей урны незамедлительно обращается к специалистам группы технической поддержки Центральной избирательной комиссии. Если по результатам осмотра работоспособность автоматически считывающей урны не подлежит к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В случае утраты работоспособности запасных автоматически считывающих урн, голосование осуществляется на основании стационарного (прозрачного) ящика для голосования. При этом участковая избирательная комиссия также составляет акт, который подписывается всеми присутствующими членами участковой комиссии,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jc w:val="both"/>
      </w:pPr>
      <w:r>
        <w:rPr>
          <w:rFonts w:ascii="Arial" w:cs="Arial" w:eastAsia="Arial" w:hAnsi="Arial"/>
          <w:sz w:val="24"/>
          <w:szCs w:val="24"/>
        </w:rPr>
        <w:t xml:space="preserve">В случае, если до установления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стационарном (прозрачном) ящике для голосования, извлекаются и пропускаются через действующую автоматически считывающую урну в присутствии наблюдателей, представителей кандидатов, политических партий.</w:t>
      </w:r>
    </w:p>
    <w:p>
      <w:pPr>
        <w:spacing w:after="120"/>
        <w:jc w:val="both"/>
      </w:pPr>
      <w:r>
        <w:rPr>
          <w:rFonts w:ascii="Arial" w:cs="Arial" w:eastAsia="Arial" w:hAnsi="Arial"/>
          <w:sz w:val="24"/>
          <w:szCs w:val="24"/>
        </w:rPr>
        <w:t xml:space="preserve">В случае если на избирательном участке, в результате утраты работоспособности основной автоматически считывающей урны и запасной автоматически считывающей урны, использовался стационарный (прозрачный) ящик для голосования, протокол предварительного подсчета голосов избирателей не составляется.";</w:t>
      </w:r>
    </w:p>
    <w:p>
      <w:pPr>
        <w:spacing w:after="120"/>
        <w:jc w:val="both"/>
      </w:pPr>
      <w:r>
        <w:rPr>
          <w:rFonts w:ascii="Arial" w:cs="Arial" w:eastAsia="Arial" w:hAnsi="Arial"/>
          <w:sz w:val="24"/>
          <w:szCs w:val="24"/>
        </w:rPr>
        <w:t xml:space="preserve">- в пункте 49:</w:t>
      </w:r>
    </w:p>
    <w:p>
      <w:pPr>
        <w:spacing w:after="120"/>
        <w:jc w:val="both"/>
      </w:pPr>
      <w:r>
        <w:rPr>
          <w:rFonts w:ascii="Arial" w:cs="Arial" w:eastAsia="Arial" w:hAnsi="Arial"/>
          <w:sz w:val="24"/>
          <w:szCs w:val="24"/>
        </w:rPr>
        <w:t xml:space="preserve">в абзаце первом слова "на ее заседании" исключить;</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120"/>
        <w:jc w:val="both"/>
      </w:pPr>
      <w:r>
        <w:rPr>
          <w:rFonts w:ascii="Arial" w:cs="Arial" w:eastAsia="Arial" w:hAnsi="Arial"/>
          <w:sz w:val="24"/>
          <w:szCs w:val="24"/>
        </w:rPr>
        <w:t xml:space="preserve">- пункт 50 дополнить абзацем третьим следующего содержания:</w:t>
      </w:r>
    </w:p>
    <w:p>
      <w:pPr>
        <w:spacing w:after="120"/>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На выборах депутатов Жогорку Кенеша в первую очередь осуществляется подсчет голосов избирателей, поданных за кандидатов в депутаты по одномандатным избирательным округам, во вторую очередь осуществляется подсчет голосов избирателей, поданных за политические партии и их кандидатов по единому избирательному округу.";</w:t>
      </w:r>
    </w:p>
    <w:p>
      <w:pPr>
        <w:spacing w:after="120"/>
        <w:jc w:val="both"/>
      </w:pPr>
      <w:r>
        <w:rPr>
          <w:rFonts w:ascii="Arial" w:cs="Arial" w:eastAsia="Arial" w:hAnsi="Arial"/>
          <w:sz w:val="24"/>
          <w:szCs w:val="24"/>
        </w:rPr>
        <w:t xml:space="preserve">- в пункте 51 слова "(при этом не допускается повреждение квадратов, размещенных справа от сведений о зарегистрированных кандидатах, списков кандидатов)" заменить словами "(при этом не допускается повреждение квадратов, размещенных справа от сведений о зарегистрированных кандидатах, наименований политических партий и квадратов с порядковыми номерами кандидатов)";</w:t>
      </w:r>
    </w:p>
    <w:p>
      <w:pPr>
        <w:spacing w:after="120"/>
        <w:jc w:val="both"/>
      </w:pPr>
      <w:r>
        <w:rPr>
          <w:rFonts w:ascii="Arial" w:cs="Arial" w:eastAsia="Arial" w:hAnsi="Arial"/>
          <w:sz w:val="24"/>
          <w:szCs w:val="24"/>
        </w:rPr>
        <w:t xml:space="preserve">- абзац четвертый пункта 52 изложить в следующей редакции:</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 пункт 55 изложить в следующей редакции:</w:t>
      </w:r>
    </w:p>
    <w:p>
      <w:pPr>
        <w:spacing w:after="120"/>
        <w:jc w:val="both"/>
      </w:pPr>
      <w:r>
        <w:rPr>
          <w:rFonts w:ascii="Arial" w:cs="Arial" w:eastAsia="Arial" w:hAnsi="Arial"/>
          <w:sz w:val="24"/>
          <w:szCs w:val="24"/>
        </w:rPr>
        <w:t xml:space="preserve">"55. Автоматически считывающая урна формирует и выдает бумажный протокол о предварительных итогах голосования, в котором указывается количество обработанных бюллетеней, а также суммарное значение количества голосов избирателей, набранных кандидатом, каждой политической партией и в позиции "Против всех".</w:t>
      </w:r>
    </w:p>
    <w:p>
      <w:pPr>
        <w:spacing w:after="120"/>
        <w:jc w:val="both"/>
      </w:pPr>
      <w:r>
        <w:rPr>
          <w:rFonts w:ascii="Arial" w:cs="Arial" w:eastAsia="Arial" w:hAnsi="Arial"/>
          <w:sz w:val="24"/>
          <w:szCs w:val="24"/>
        </w:rPr>
        <w:t xml:space="preserve">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 часов, но не позднее 23 часов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окружной, территориальной избирательной комиссии в присутствии представителей кандидатов, политической партии и наблюдателей.</w:t>
      </w:r>
    </w:p>
    <w:p>
      <w:pPr>
        <w:spacing w:after="120"/>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 пункт 57 изложить в следующей редакции:</w:t>
      </w:r>
    </w:p>
    <w:p>
      <w:pPr>
        <w:spacing w:after="120"/>
        <w:jc w:val="both"/>
      </w:pPr>
      <w:r>
        <w:rPr>
          <w:rFonts w:ascii="Arial" w:cs="Arial" w:eastAsia="Arial" w:hAnsi="Arial"/>
          <w:sz w:val="24"/>
          <w:szCs w:val="24"/>
        </w:rPr>
        <w:t xml:space="preserve">"57.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за каждую политическую партию,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политических партий, наблюдатели.";</w:t>
      </w:r>
    </w:p>
    <w:p>
      <w:pPr>
        <w:spacing w:after="120"/>
        <w:jc w:val="both"/>
      </w:pPr>
      <w:r>
        <w:rPr>
          <w:rFonts w:ascii="Arial" w:cs="Arial" w:eastAsia="Arial" w:hAnsi="Arial"/>
          <w:sz w:val="24"/>
          <w:szCs w:val="24"/>
        </w:rPr>
        <w:t xml:space="preserve">- первое предложение пункта 58 изложить в следующей редакции:</w:t>
      </w:r>
    </w:p>
    <w:p>
      <w:pPr>
        <w:spacing w:after="120"/>
        <w:jc w:val="both"/>
      </w:pPr>
      <w:r>
        <w:rPr>
          <w:rFonts w:ascii="Arial" w:cs="Arial" w:eastAsia="Arial" w:hAnsi="Arial"/>
          <w:sz w:val="24"/>
          <w:szCs w:val="24"/>
        </w:rPr>
        <w:t xml:space="preserve">"На выборах Президента производится подсчет голосов избирателей по избирательным бюллетеням установленной формы отдельно по каждому кандидату и позиции "Против всех.";</w:t>
      </w:r>
    </w:p>
    <w:p>
      <w:pPr>
        <w:spacing w:after="120"/>
        <w:jc w:val="both"/>
      </w:pPr>
      <w:r>
        <w:rPr>
          <w:rFonts w:ascii="Arial" w:cs="Arial" w:eastAsia="Arial" w:hAnsi="Arial"/>
          <w:sz w:val="24"/>
          <w:szCs w:val="24"/>
        </w:rPr>
        <w:t xml:space="preserve">- дополнить пунктами 58-1 и 58-2 следующего содержания:</w:t>
      </w:r>
    </w:p>
    <w:p>
      <w:pPr>
        <w:spacing w:after="120"/>
        <w:jc w:val="both"/>
      </w:pPr>
      <w:r>
        <w:rPr>
          <w:rFonts w:ascii="Arial" w:cs="Arial" w:eastAsia="Arial" w:hAnsi="Arial"/>
          <w:sz w:val="24"/>
          <w:szCs w:val="24"/>
        </w:rPr>
        <w:t xml:space="preserve">"58-1. На выборах депутатов Жогорку Кенеша по одномандатным избирательным округам подсчет голосов избирателей, поданных за кандидатов в депутаты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кандидата из списка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58-2. На выборах депутатов Жогорку Кенеша по единому избирательному округу подсчет голосов избирателей производится по избирательным бюллетеням установленной формы отдельно по каждой политической партии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каждой политической партии и позиции "Против всех",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Затем из рассортированных по политическим партиям избирательных бюллетеней отдельно по каждой политической партии, в очередности указанной в первой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из списка кандидатов,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Если избиратель поставил в избирательном бюллетене соответствующую отметку в квадрате, относящемся к политической партии, при этом не поставил отметку по порядковому номеру кандидата из списка кандидатов, либо поставил отметку в квадрате выбывшего кандидата, то голос избирателя засчитывается в пользу данной политической партии. Такие голоса избирателей подсчитываются отдельно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 дополнить пунктом 59-1 следующего содержания:</w:t>
      </w:r>
    </w:p>
    <w:p>
      <w:pPr>
        <w:spacing w:after="120"/>
        <w:jc w:val="both"/>
      </w:pPr>
      <w:r>
        <w:rPr>
          <w:rFonts w:ascii="Arial" w:cs="Arial" w:eastAsia="Arial" w:hAnsi="Arial"/>
          <w:sz w:val="24"/>
          <w:szCs w:val="24"/>
        </w:rPr>
        <w:t xml:space="preserve">"59-1. На выборах депутатов Жогорку Кенеша по единому избирательному округу недействительными считаются избирательные бюллетени, если:</w:t>
      </w:r>
    </w:p>
    <w:p>
      <w:pPr>
        <w:spacing w:after="120"/>
        <w:jc w:val="both"/>
      </w:pPr>
      <w:r>
        <w:rPr>
          <w:rFonts w:ascii="Arial" w:cs="Arial" w:eastAsia="Arial" w:hAnsi="Arial"/>
          <w:sz w:val="24"/>
          <w:szCs w:val="24"/>
        </w:rPr>
        <w:t xml:space="preserve">1) избиратель поставил в избирательном бюллетене соответствующую отметку в квадрате, относящемся к политической партии, но при этом, в нарушение части 8-2 статьи 31 конституционного Закона, поставил более одной отметки в квадратах с порядковыми номерами кандидатов;</w:t>
      </w:r>
    </w:p>
    <w:p>
      <w:pPr>
        <w:spacing w:after="120"/>
        <w:jc w:val="both"/>
      </w:pPr>
      <w:r>
        <w:rPr>
          <w:rFonts w:ascii="Arial" w:cs="Arial" w:eastAsia="Arial" w:hAnsi="Arial"/>
          <w:sz w:val="24"/>
          <w:szCs w:val="24"/>
        </w:rPr>
        <w:t xml:space="preserve">2) избиратель не поставил в избирательном бюллетене соответствующую отметку в квадрате, относящемся к политической партии, но при этом, поставил отметку в квадрате с порядковыми номерами кандидатов;</w:t>
      </w:r>
    </w:p>
    <w:p>
      <w:pPr>
        <w:spacing w:after="120"/>
        <w:jc w:val="both"/>
      </w:pPr>
      <w:r>
        <w:rPr>
          <w:rFonts w:ascii="Arial" w:cs="Arial" w:eastAsia="Arial" w:hAnsi="Arial"/>
          <w:sz w:val="24"/>
          <w:szCs w:val="24"/>
        </w:rPr>
        <w:t xml:space="preserve">3) в других случаях, предусмотренных конституционным Законом.";</w:t>
      </w:r>
    </w:p>
    <w:p>
      <w:pPr>
        <w:spacing w:after="120"/>
        <w:jc w:val="both"/>
      </w:pPr>
      <w:r>
        <w:rPr>
          <w:rFonts w:ascii="Arial" w:cs="Arial" w:eastAsia="Arial" w:hAnsi="Arial"/>
          <w:sz w:val="24"/>
          <w:szCs w:val="24"/>
        </w:rPr>
        <w:t xml:space="preserve">- пункт 65 дополнить абзацем пятым следующего содержания:</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направляют сканированные документы, заверенные руководителем загранучреждения, через электронную почту.";</w:t>
      </w:r>
    </w:p>
    <w:p>
      <w:pPr>
        <w:spacing w:after="120"/>
        <w:jc w:val="both"/>
      </w:pPr>
      <w:r>
        <w:rPr>
          <w:rFonts w:ascii="Arial" w:cs="Arial" w:eastAsia="Arial" w:hAnsi="Arial"/>
          <w:sz w:val="24"/>
          <w:szCs w:val="24"/>
        </w:rPr>
        <w:t xml:space="preserve">- пункт 66 изложить в следующей редакции:</w:t>
      </w:r>
    </w:p>
    <w:p>
      <w:pPr>
        <w:spacing w:after="120"/>
        <w:jc w:val="both"/>
      </w:pPr>
      <w:r>
        <w:rPr>
          <w:rFonts w:ascii="Arial" w:cs="Arial" w:eastAsia="Arial" w:hAnsi="Arial"/>
          <w:sz w:val="24"/>
          <w:szCs w:val="24"/>
        </w:rPr>
        <w:t xml:space="preserve">"Первый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осуществляют доставку указанных в настоящей части документов, не позднее 7 календарных дней в соответствующую окружную/территориальную избирательную комиссию через дипломатические каналы.</w:t>
      </w:r>
    </w:p>
    <w:p>
      <w:pPr>
        <w:spacing w:after="120"/>
        <w:jc w:val="both"/>
      </w:pPr>
      <w:r>
        <w:rPr>
          <w:rFonts w:ascii="Arial" w:cs="Arial" w:eastAsia="Arial" w:hAnsi="Arial"/>
          <w:sz w:val="24"/>
          <w:szCs w:val="24"/>
        </w:rPr>
        <w:t xml:space="preserve">В случае возникновения форс-мажорных обстоятельств, препятствующих доставке указанных в настоящей части документов, Центральная избирательная комиссия может принять решение о продлении сроков доставки.";</w:t>
      </w:r>
    </w:p>
    <w:p>
      <w:pPr>
        <w:spacing w:after="120"/>
        <w:jc w:val="both"/>
      </w:pPr>
      <w:r>
        <w:rPr>
          <w:rFonts w:ascii="Arial" w:cs="Arial" w:eastAsia="Arial" w:hAnsi="Arial"/>
          <w:sz w:val="24"/>
          <w:szCs w:val="24"/>
        </w:rPr>
        <w:t xml:space="preserve">- в пункте 70:</w:t>
      </w:r>
    </w:p>
    <w:p>
      <w:pPr>
        <w:spacing w:after="120"/>
        <w:jc w:val="both"/>
      </w:pPr>
      <w:r>
        <w:rPr>
          <w:rFonts w:ascii="Arial" w:cs="Arial" w:eastAsia="Arial" w:hAnsi="Arial"/>
          <w:sz w:val="24"/>
          <w:szCs w:val="24"/>
        </w:rPr>
        <w:t xml:space="preserve">первое предложение абзаца второго изложить в следующей редакции:</w:t>
      </w:r>
    </w:p>
    <w:p>
      <w:pPr>
        <w:spacing w:after="120"/>
        <w:jc w:val="both"/>
      </w:pPr>
      <w:r>
        <w:rPr>
          <w:rFonts w:ascii="Arial" w:cs="Arial" w:eastAsia="Arial" w:hAnsi="Arial"/>
          <w:sz w:val="24"/>
          <w:szCs w:val="24"/>
        </w:rPr>
        <w:t xml:space="preserve">"Список избирателей, принявших участие на выборах, или его копия, заверенные печатью, не позднее 7 календарных дней после дня голосования вывешивается на стендах перед помещениями участковых избирательных комиссий и публикуются на сайте Центральной избирательной комиссии.";</w:t>
      </w:r>
    </w:p>
    <w:p>
      <w:pPr>
        <w:spacing w:after="120"/>
        <w:jc w:val="both"/>
      </w:pPr>
      <w:r>
        <w:rPr>
          <w:rFonts w:ascii="Arial" w:cs="Arial" w:eastAsia="Arial" w:hAnsi="Arial"/>
          <w:sz w:val="24"/>
          <w:szCs w:val="24"/>
        </w:rPr>
        <w:t xml:space="preserve">в абзаце третьем слова "Территориальная избирательная комиссия" заменить словами "Окружная, территориальная избирательная комиссия";</w:t>
      </w:r>
    </w:p>
    <w:p>
      <w:pPr>
        <w:spacing w:after="120"/>
        <w:jc w:val="both"/>
      </w:pPr>
      <w:r>
        <w:rPr>
          <w:rFonts w:ascii="Arial" w:cs="Arial" w:eastAsia="Arial" w:hAnsi="Arial"/>
          <w:sz w:val="24"/>
          <w:szCs w:val="24"/>
        </w:rPr>
        <w:t xml:space="preserve">- дополнить Главой 8-1 следующего содержания:</w:t>
      </w:r>
    </w:p>
    <w:p>
      <w:pPr>
        <w:spacing w:after="120"/>
        <w:jc w:val="both"/>
      </w:pPr>
      <w:r>
        <w:rPr>
          <w:rFonts w:ascii="Arial" w:cs="Arial" w:eastAsia="Arial" w:hAnsi="Arial"/>
          <w:sz w:val="24"/>
          <w:szCs w:val="24"/>
        </w:rPr>
        <w:t xml:space="preserve">"8-1. Методика подсчета голосов избирателей, поданных за кандидатов из списка политической партии</w:t>
      </w:r>
    </w:p>
    <w:p>
      <w:pPr>
        <w:spacing w:after="120"/>
        <w:jc w:val="both"/>
      </w:pPr>
      <w:r>
        <w:rPr>
          <w:rFonts w:ascii="Arial" w:cs="Arial" w:eastAsia="Arial" w:hAnsi="Arial"/>
          <w:sz w:val="24"/>
          <w:szCs w:val="24"/>
        </w:rPr>
        <w:t xml:space="preserve">70-1. Из рассортированных по политическим партиям избирательных бюллетеней в очередности, указанной в первой (верхней)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sz w:val="24"/>
          <w:szCs w:val="24"/>
        </w:rPr>
        <w:t xml:space="preserve">70-2. Избирательные бюллетени одной политической партии делятся между членами избирательной комиссии для сортировки по порядковым номерам кандидатов либо без отметки за кандидата, либо проголосовавших за выбывшего кандидата.</w:t>
      </w:r>
    </w:p>
    <w:p>
      <w:pPr>
        <w:spacing w:after="120"/>
        <w:jc w:val="both"/>
      </w:pPr>
      <w:r>
        <w:rPr>
          <w:rFonts w:ascii="Arial" w:cs="Arial" w:eastAsia="Arial" w:hAnsi="Arial"/>
          <w:sz w:val="24"/>
          <w:szCs w:val="24"/>
        </w:rPr>
        <w:t xml:space="preserve">70-3. Член участковой избирательной комиссии выбирает из своей пачки все бюллетени с отметкой за кандидата с порядковым номером 1 и передает их председателю. Аналогичная процедура применяется к каждому последующему кандидату этой партии. По завершению передаются бюллетени без отметок за кандидатов.</w:t>
      </w:r>
    </w:p>
    <w:p>
      <w:pPr>
        <w:spacing w:after="120"/>
        <w:jc w:val="both"/>
      </w:pPr>
      <w:r>
        <w:rPr>
          <w:rFonts w:ascii="Arial" w:cs="Arial" w:eastAsia="Arial" w:hAnsi="Arial"/>
          <w:sz w:val="24"/>
          <w:szCs w:val="24"/>
        </w:rPr>
        <w:t xml:space="preserve">70-4. Председатель, секретарь участковой избирательной комиссии и операторы избирательного оборудования не участвуют в сортировке избирательных бюллетеней.</w:t>
      </w:r>
    </w:p>
    <w:p>
      <w:pPr>
        <w:spacing w:after="120"/>
        <w:jc w:val="both"/>
      </w:pPr>
      <w:r>
        <w:rPr>
          <w:rFonts w:ascii="Arial" w:cs="Arial" w:eastAsia="Arial" w:hAnsi="Arial"/>
          <w:sz w:val="24"/>
          <w:szCs w:val="24"/>
        </w:rPr>
        <w:t xml:space="preserve">70-5. Председатель раскрадывает избирательные бюллетени одной партии (крест на крест) в соответствии с порядковыми номерами.</w:t>
      </w:r>
    </w:p>
    <w:p>
      <w:pPr>
        <w:spacing w:after="120"/>
        <w:jc w:val="both"/>
      </w:pPr>
      <w:r>
        <w:rPr>
          <w:rFonts w:ascii="Arial" w:cs="Arial" w:eastAsia="Arial" w:hAnsi="Arial"/>
          <w:sz w:val="24"/>
          <w:szCs w:val="24"/>
        </w:rPr>
        <w:t xml:space="preserve">70-6. Председатель оглашает порядковый номер кандидата и осуществляет подсчет рассортированных избирательных бюллетеней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 Таким же образом подсчитываются избирательные бюллетени без отметки за кандидата.</w:t>
      </w:r>
    </w:p>
    <w:p>
      <w:pPr>
        <w:spacing w:after="120"/>
        <w:jc w:val="both"/>
      </w:pPr>
      <w:r>
        <w:rPr>
          <w:rFonts w:ascii="Arial" w:cs="Arial" w:eastAsia="Arial" w:hAnsi="Arial"/>
          <w:sz w:val="24"/>
          <w:szCs w:val="24"/>
        </w:rPr>
        <w:t xml:space="preserve">70-7. Секретарь участковой избирательной комиссии по завершению подсчета за каждого кандидата одной партии вносит число голосов избирателей в приложение к протоколу № 2 и его увеличенную форму.</w:t>
      </w:r>
    </w:p>
    <w:p>
      <w:pPr>
        <w:spacing w:after="120"/>
        <w:jc w:val="both"/>
      </w:pPr>
      <w:r>
        <w:rPr>
          <w:rFonts w:ascii="Arial" w:cs="Arial" w:eastAsia="Arial" w:hAnsi="Arial"/>
          <w:sz w:val="24"/>
          <w:szCs w:val="24"/>
        </w:rPr>
        <w:t xml:space="preserve">70-8. Избирательный бюллетень считается действительным и голос засчитывается в целом за политическую партию, если отметка за партию проставлена и имеется одна и более отметок за пределами квадратов с порядковыми номерами кандидатов из списка кандидатов.</w:t>
      </w:r>
    </w:p>
    <w:p>
      <w:pPr>
        <w:spacing w:after="120"/>
        <w:jc w:val="both"/>
      </w:pPr>
      <w:r>
        <w:rPr>
          <w:rFonts w:ascii="Arial" w:cs="Arial" w:eastAsia="Arial" w:hAnsi="Arial"/>
          <w:sz w:val="24"/>
          <w:szCs w:val="24"/>
        </w:rPr>
        <w:t xml:space="preserve">70-9. Если в первой (верхней) части избирательного бюллетеня поставлена отметка в позиции "Против всех", при этом также поставлены разные отметки во второй (нижней) части избирательного бюллетеня, то голос засчитывается в пользу позиции "Против всех".</w:t>
      </w:r>
    </w:p>
    <w:p>
      <w:pPr>
        <w:spacing w:after="120"/>
        <w:jc w:val="both"/>
      </w:pPr>
      <w:r>
        <w:rPr>
          <w:rFonts w:ascii="Arial" w:cs="Arial" w:eastAsia="Arial" w:hAnsi="Arial"/>
          <w:sz w:val="24"/>
          <w:szCs w:val="24"/>
        </w:rPr>
        <w:t xml:space="preserve">70-10. Избирательные бюллетени, извлеченные из отсека автоматически считывающих урн для недействительных избирательных бюллетеней, дополнительно проверяются участковой избирательной комиссией на предмет установления действительности либо недействительности избирательных бюллетеней.</w:t>
      </w:r>
    </w:p>
    <w:p>
      <w:pPr>
        <w:spacing w:after="120"/>
        <w:jc w:val="both"/>
      </w:pPr>
      <w:r>
        <w:rPr>
          <w:rFonts w:ascii="Arial" w:cs="Arial" w:eastAsia="Arial" w:hAnsi="Arial"/>
          <w:sz w:val="24"/>
          <w:szCs w:val="24"/>
        </w:rPr>
        <w:t xml:space="preserve">В случае, если среди извлеченных недействительных избирательных бюллетеней участковой комиссией некоторые будут признаны действительными, то составляется соответствующий акт, и голос засчитывается в пользу соответствующего кандидата из списка кандидатов или партии в целом.";</w:t>
      </w:r>
    </w:p>
    <w:p>
      <w:pPr>
        <w:spacing w:after="120"/>
        <w:jc w:val="both"/>
      </w:pPr>
      <w:r>
        <w:rPr>
          <w:rFonts w:ascii="Arial" w:cs="Arial" w:eastAsia="Arial" w:hAnsi="Arial"/>
          <w:sz w:val="24"/>
          <w:szCs w:val="24"/>
        </w:rPr>
        <w:t xml:space="preserve">- в названии раздела 9 слова "территориальными избирательными комиссиями" заменить словами "окружными, территориальными избирательными комиссиями";</w:t>
      </w:r>
    </w:p>
    <w:p>
      <w:pPr>
        <w:spacing w:after="120"/>
        <w:jc w:val="both"/>
      </w:pPr>
      <w:r>
        <w:rPr>
          <w:rFonts w:ascii="Arial" w:cs="Arial" w:eastAsia="Arial" w:hAnsi="Arial"/>
          <w:sz w:val="24"/>
          <w:szCs w:val="24"/>
        </w:rPr>
        <w:t xml:space="preserve">- в пункте 71 слова "территориальную избирательную комиссию" заменить словами "окружную, территориальную избирательную комиссию";</w:t>
      </w:r>
    </w:p>
    <w:p>
      <w:pPr>
        <w:spacing w:after="120"/>
        <w:jc w:val="both"/>
      </w:pPr>
      <w:r>
        <w:rPr>
          <w:rFonts w:ascii="Arial" w:cs="Arial" w:eastAsia="Arial" w:hAnsi="Arial"/>
          <w:sz w:val="24"/>
          <w:szCs w:val="24"/>
        </w:rPr>
        <w:t xml:space="preserve">- в пункте 72:</w:t>
      </w:r>
    </w:p>
    <w:p>
      <w:pPr>
        <w:spacing w:after="120"/>
        <w:jc w:val="both"/>
      </w:pPr>
      <w:r>
        <w:rPr>
          <w:rFonts w:ascii="Arial" w:cs="Arial" w:eastAsia="Arial" w:hAnsi="Arial"/>
          <w:sz w:val="24"/>
          <w:szCs w:val="24"/>
        </w:rPr>
        <w:t xml:space="preserve">в абзацах первом, втором, третьем слово "территориальной" заменить словами "окружной, территориальной";</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"Также член окружной,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на должность Президента, по каждому кандидату в депутаты по одномандатному округу, по каждой политической партии и каждого кандидата из списка кандидатов, и позиции против всех кандидатов, против всех политических партий, а также избирательные бюллетени, упакованные в отдельные пачки, которые участковая избирательная комиссия своим решением признала недействительными, погашенные избирательные бюллетени, список избирателей, чеки о прохождении идентификации, выданные оператором.";</w:t>
      </w:r>
    </w:p>
    <w:p>
      <w:pPr>
        <w:spacing w:after="120"/>
        <w:jc w:val="both"/>
      </w:pPr>
      <w:r>
        <w:rPr>
          <w:rFonts w:ascii="Arial" w:cs="Arial" w:eastAsia="Arial" w:hAnsi="Arial"/>
          <w:sz w:val="24"/>
          <w:szCs w:val="24"/>
        </w:rPr>
        <w:t xml:space="preserve">- в пункте 73 слова "территориальная" и "территориальной" заменить словами "окружная, территориальная" и "окружной, территориальной" соответственно;</w:t>
      </w:r>
    </w:p>
    <w:p>
      <w:pPr>
        <w:spacing w:after="120"/>
        <w:jc w:val="both"/>
      </w:pPr>
      <w:r>
        <w:rPr>
          <w:rFonts w:ascii="Arial" w:cs="Arial" w:eastAsia="Arial" w:hAnsi="Arial"/>
          <w:sz w:val="24"/>
          <w:szCs w:val="24"/>
        </w:rPr>
        <w:t xml:space="preserve">- в пунктах 74, 76, 77 слова "территориальной" заменить словами "окружной, территориальной";</w:t>
      </w:r>
    </w:p>
    <w:p>
      <w:pPr>
        <w:spacing w:after="120"/>
        <w:jc w:val="both"/>
      </w:pPr>
      <w:r>
        <w:rPr>
          <w:rFonts w:ascii="Arial" w:cs="Arial" w:eastAsia="Arial" w:hAnsi="Arial"/>
          <w:sz w:val="24"/>
          <w:szCs w:val="24"/>
        </w:rPr>
        <w:t xml:space="preserve">- в пункте 78 слово "территориальных" заменить словами "окружных, территориальных"; третье предложение изложить в следующей редакции:</w:t>
      </w:r>
    </w:p>
    <w:p>
      <w:pPr>
        <w:spacing w:after="120"/>
        <w:jc w:val="both"/>
      </w:pPr>
      <w:r>
        <w:rPr>
          <w:rFonts w:ascii="Arial" w:cs="Arial" w:eastAsia="Arial" w:hAnsi="Arial"/>
          <w:sz w:val="24"/>
          <w:szCs w:val="24"/>
        </w:rPr>
        <w:t xml:space="preserve">"При повторном подсчете голосов вправе присутствовать представители кандидатов, политических партий и наблюдатели.";</w:t>
      </w:r>
    </w:p>
    <w:p>
      <w:pPr>
        <w:spacing w:after="120"/>
        <w:jc w:val="both"/>
      </w:pPr>
      <w:r>
        <w:rPr>
          <w:rFonts w:ascii="Arial" w:cs="Arial" w:eastAsia="Arial" w:hAnsi="Arial"/>
          <w:sz w:val="24"/>
          <w:szCs w:val="24"/>
        </w:rPr>
        <w:t xml:space="preserve">- в пункте 79 слово "территориальной" заменить словами "окружной, территориальной";</w:t>
      </w:r>
    </w:p>
    <w:p>
      <w:pPr>
        <w:spacing w:after="120"/>
        <w:jc w:val="both"/>
      </w:pPr>
      <w:r>
        <w:rPr>
          <w:rFonts w:ascii="Arial" w:cs="Arial" w:eastAsia="Arial" w:hAnsi="Arial"/>
          <w:sz w:val="24"/>
          <w:szCs w:val="24"/>
        </w:rPr>
        <w:t xml:space="preserve">- первое предложение абзаца первого пункта 80 изложить в следующей редакции:</w:t>
      </w:r>
    </w:p>
    <w:p>
      <w:pPr>
        <w:spacing w:after="120"/>
        <w:jc w:val="both"/>
      </w:pPr>
      <w:r>
        <w:rPr>
          <w:rFonts w:ascii="Arial" w:cs="Arial" w:eastAsia="Arial" w:hAnsi="Arial"/>
          <w:sz w:val="24"/>
          <w:szCs w:val="24"/>
        </w:rPr>
        <w:t xml:space="preserve">"Окружная, территориальная избирательная комиссия вправе признать итоги голосования на избирательном участке недействительными:";</w:t>
      </w:r>
    </w:p>
    <w:p>
      <w:pPr>
        <w:spacing w:after="120"/>
        <w:jc w:val="both"/>
      </w:pPr>
      <w:r>
        <w:rPr>
          <w:rFonts w:ascii="Arial" w:cs="Arial" w:eastAsia="Arial" w:hAnsi="Arial"/>
          <w:sz w:val="24"/>
          <w:szCs w:val="24"/>
        </w:rPr>
        <w:t xml:space="preserve">- дополнить пунктом 80-1 следующего содержания:</w:t>
      </w:r>
    </w:p>
    <w:p>
      <w:pPr>
        <w:spacing w:after="120"/>
        <w:jc w:val="both"/>
      </w:pPr>
      <w:r>
        <w:rPr>
          <w:rFonts w:ascii="Arial" w:cs="Arial" w:eastAsia="Arial" w:hAnsi="Arial"/>
          <w:sz w:val="24"/>
          <w:szCs w:val="24"/>
        </w:rPr>
        <w:t xml:space="preserve">"80-1.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120"/>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jc w:val="both"/>
      </w:pPr>
      <w:r>
        <w:rPr>
          <w:rFonts w:ascii="Arial" w:cs="Arial" w:eastAsia="Arial" w:hAnsi="Arial"/>
          <w:sz w:val="24"/>
          <w:szCs w:val="24"/>
        </w:rPr>
        <w:t xml:space="preserve">- в пункте 81 слово "территориальных" заменить словами "окружных, территориальных";</w:t>
      </w:r>
    </w:p>
    <w:p>
      <w:pPr>
        <w:spacing w:after="120"/>
        <w:jc w:val="both"/>
      </w:pPr>
      <w:r>
        <w:rPr>
          <w:rFonts w:ascii="Arial" w:cs="Arial" w:eastAsia="Arial" w:hAnsi="Arial"/>
          <w:sz w:val="24"/>
          <w:szCs w:val="24"/>
        </w:rPr>
        <w:t xml:space="preserve">- дополнить пунктами 82-1 - 82-3 следующего содержания:</w:t>
      </w:r>
    </w:p>
    <w:p>
      <w:pPr>
        <w:spacing w:after="120"/>
        <w:jc w:val="both"/>
      </w:pPr>
      <w:r>
        <w:rPr>
          <w:rFonts w:ascii="Arial" w:cs="Arial" w:eastAsia="Arial" w:hAnsi="Arial"/>
          <w:sz w:val="24"/>
          <w:szCs w:val="24"/>
        </w:rPr>
        <w:t xml:space="preserve">"82-1. При распределении мандатов, полученных политической партией, первоначально распределению подлежат не менее 30 процентов от общего числа мандатов, полученных политической партией, между кандидатами женского пола, получившими наибольшее количество голосов избирателей. В случае если кандидаты женского пола из списка кандидатов политической партии не получили голоса избирателей, оставшиеся мандаты по женской квоте распределяются в очередности, соответствующей порядку размещения кандидатов женского пола в списке политической партии, установленному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Количество резервируемых мандатов для женщин зависит от общего количества мандатов, полученных партией:</w:t>
      </w:r>
    </w:p>
    <w:p>
      <w:pPr>
        <w:spacing w:after="120"/>
        <w:jc w:val="both"/>
      </w:pPr>
      <w:r>
        <w:rPr>
          <w:rFonts w:ascii="Arial" w:cs="Arial" w:eastAsia="Arial" w:hAnsi="Arial"/>
          <w:sz w:val="24"/>
          <w:szCs w:val="24"/>
        </w:rPr>
        <w:t xml:space="preserve">1) при получении 1, 2, 3 мандатов резервируется 1 мандат;</w:t>
      </w:r>
    </w:p>
    <w:p>
      <w:pPr>
        <w:spacing w:after="120"/>
        <w:jc w:val="both"/>
      </w:pPr>
      <w:r>
        <w:rPr>
          <w:rFonts w:ascii="Arial" w:cs="Arial" w:eastAsia="Arial" w:hAnsi="Arial"/>
          <w:sz w:val="24"/>
          <w:szCs w:val="24"/>
        </w:rPr>
        <w:t xml:space="preserve">2) при получении 4, 5, 6, 7 мандатов резервируется 2 мандата;</w:t>
      </w:r>
    </w:p>
    <w:p>
      <w:pPr>
        <w:spacing w:after="120"/>
        <w:jc w:val="both"/>
      </w:pPr>
      <w:r>
        <w:rPr>
          <w:rFonts w:ascii="Arial" w:cs="Arial" w:eastAsia="Arial" w:hAnsi="Arial"/>
          <w:sz w:val="24"/>
          <w:szCs w:val="24"/>
        </w:rPr>
        <w:t xml:space="preserve">3) при получении 8, 9, 10 мандатов резервируется 3 мандата;</w:t>
      </w:r>
    </w:p>
    <w:p>
      <w:pPr>
        <w:spacing w:after="120"/>
        <w:jc w:val="both"/>
      </w:pPr>
      <w:r>
        <w:rPr>
          <w:rFonts w:ascii="Arial" w:cs="Arial" w:eastAsia="Arial" w:hAnsi="Arial"/>
          <w:sz w:val="24"/>
          <w:szCs w:val="24"/>
        </w:rPr>
        <w:t xml:space="preserve">4) при получении 11, 12, 13 мандатов резервируется 4 мандата;</w:t>
      </w:r>
    </w:p>
    <w:p>
      <w:pPr>
        <w:spacing w:after="120"/>
        <w:jc w:val="both"/>
      </w:pPr>
      <w:r>
        <w:rPr>
          <w:rFonts w:ascii="Arial" w:cs="Arial" w:eastAsia="Arial" w:hAnsi="Arial"/>
          <w:sz w:val="24"/>
          <w:szCs w:val="24"/>
        </w:rPr>
        <w:t xml:space="preserve">5) при получении 14, 15, 16 мандатов резервируется 5 мандатов;</w:t>
      </w:r>
    </w:p>
    <w:p>
      <w:pPr>
        <w:spacing w:after="120"/>
        <w:jc w:val="both"/>
      </w:pPr>
      <w:r>
        <w:rPr>
          <w:rFonts w:ascii="Arial" w:cs="Arial" w:eastAsia="Arial" w:hAnsi="Arial"/>
          <w:sz w:val="24"/>
          <w:szCs w:val="24"/>
        </w:rPr>
        <w:t xml:space="preserve">6) при получении 17, 18, 19 мандатов резервируется 6 мандатов;</w:t>
      </w:r>
    </w:p>
    <w:p>
      <w:pPr>
        <w:spacing w:after="120"/>
        <w:jc w:val="both"/>
      </w:pPr>
      <w:r>
        <w:rPr>
          <w:rFonts w:ascii="Arial" w:cs="Arial" w:eastAsia="Arial" w:hAnsi="Arial"/>
          <w:sz w:val="24"/>
          <w:szCs w:val="24"/>
        </w:rPr>
        <w:t xml:space="preserve">7) при получении 20, 21, 22 мандатов резервируется 7 мандатов;</w:t>
      </w:r>
    </w:p>
    <w:p>
      <w:pPr>
        <w:spacing w:after="120"/>
        <w:jc w:val="both"/>
      </w:pPr>
      <w:r>
        <w:rPr>
          <w:rFonts w:ascii="Arial" w:cs="Arial" w:eastAsia="Arial" w:hAnsi="Arial"/>
          <w:sz w:val="24"/>
          <w:szCs w:val="24"/>
        </w:rPr>
        <w:t xml:space="preserve">8) при получении 23, 24, 25 мандатов резервируется 8 мандатов;</w:t>
      </w:r>
    </w:p>
    <w:p>
      <w:pPr>
        <w:spacing w:after="120"/>
        <w:jc w:val="both"/>
      </w:pPr>
      <w:r>
        <w:rPr>
          <w:rFonts w:ascii="Arial" w:cs="Arial" w:eastAsia="Arial" w:hAnsi="Arial"/>
          <w:sz w:val="24"/>
          <w:szCs w:val="24"/>
        </w:rPr>
        <w:t xml:space="preserve">9) при получении 26, 27 мандатов резервируется 9 мандатов.</w:t>
      </w:r>
    </w:p>
    <w:p>
      <w:pPr>
        <w:spacing w:after="120"/>
        <w:jc w:val="both"/>
      </w:pPr>
      <w:r>
        <w:rPr>
          <w:rFonts w:ascii="Arial" w:cs="Arial" w:eastAsia="Arial" w:hAnsi="Arial"/>
          <w:sz w:val="24"/>
          <w:szCs w:val="24"/>
        </w:rPr>
        <w:t xml:space="preserve">82-2. Затем 70 процентов от общего числа мандатов распределяются между кандидатами, за порядковый номер которых отдано наибольшее количество голосов избирателей по отношению к другим кандидатам. При этом позиции кандидатов в списках кандидатов политической партии перемещаются в нисходящей последовательности в зависимости от количества набранных каждым кандидатом голосов избирателей.</w:t>
      </w:r>
    </w:p>
    <w:p>
      <w:pPr>
        <w:spacing w:after="120"/>
        <w:jc w:val="both"/>
      </w:pPr>
      <w:r>
        <w:rPr>
          <w:rFonts w:ascii="Arial" w:cs="Arial" w:eastAsia="Arial" w:hAnsi="Arial"/>
          <w:sz w:val="24"/>
          <w:szCs w:val="24"/>
        </w:rPr>
        <w:t xml:space="preserve">В случае равенства набранных голосов избирателей между кандидатами из списка кандидатов одной политической партии последовательность позиций кандидатов в списке кандидатов определяется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Если после распределения мандатов между кандидатами по количеству набранных голосов избирателей остаются незанятые мандаты, их распределение производится между кандидатами из списка кандидатов политических партий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При этом очередность кандидатов в списке кандидатов политической партии определяется в зависимости от количества набранных кандидатами голосов избирателей, а дальнейшая очередность оставшихся кандидатов определяется в соответствии с порядком размещения кандидатов в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82-3. По результатам выборов политической партии может быть предоставлено не более 50 процентов от общего количества депутатских мандатов в Жогорку Кенеше по пропорциональной системе.</w:t>
      </w:r>
    </w:p>
    <w:p>
      <w:pPr>
        <w:spacing w:after="120"/>
        <w:jc w:val="both"/>
      </w:pPr>
      <w:r>
        <w:rPr>
          <w:rFonts w:ascii="Arial" w:cs="Arial" w:eastAsia="Arial" w:hAnsi="Arial"/>
          <w:sz w:val="24"/>
          <w:szCs w:val="24"/>
        </w:rPr>
        <w:t xml:space="preserve">В случае, если в результате распределения депутатских мандатов количество мандатов политической партии превышает 50 процентов от общего количества мандатов в Жогорку Кенеше по пропорциональной системе, то превышающее количество мандатов распределяется между остальными политическими партиями, допущенными к распределению мандатов, пропорционально полученным ими голосам избирателей.";</w:t>
      </w:r>
    </w:p>
    <w:p>
      <w:pPr>
        <w:spacing w:after="120"/>
        <w:jc w:val="both"/>
      </w:pPr>
      <w:r>
        <w:rPr>
          <w:rFonts w:ascii="Arial" w:cs="Arial" w:eastAsia="Arial" w:hAnsi="Arial"/>
          <w:sz w:val="24"/>
          <w:szCs w:val="24"/>
        </w:rPr>
        <w:t xml:space="preserve">- пункт 85 изложить в следующей редакции:</w:t>
      </w:r>
    </w:p>
    <w:p>
      <w:pPr>
        <w:spacing w:after="120"/>
        <w:jc w:val="both"/>
      </w:pPr>
      <w:r>
        <w:rPr>
          <w:rFonts w:ascii="Arial" w:cs="Arial" w:eastAsia="Arial" w:hAnsi="Arial"/>
          <w:sz w:val="24"/>
          <w:szCs w:val="24"/>
        </w:rPr>
        <w:t xml:space="preserve">"85. Центральная избирательная комиссия признает результаты выборов недействительными:</w:t>
      </w:r>
    </w:p>
    <w:p>
      <w:pPr>
        <w:spacing w:after="120"/>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120"/>
        <w:jc w:val="both"/>
      </w:pPr>
      <w:r>
        <w:rPr>
          <w:rFonts w:ascii="Arial" w:cs="Arial" w:eastAsia="Arial" w:hAnsi="Arial"/>
          <w:sz w:val="24"/>
          <w:szCs w:val="24"/>
        </w:rPr>
        <w:t xml:space="preserve">- пункт 88 изложить в следующей редакции:</w:t>
      </w:r>
    </w:p>
    <w:p>
      <w:pPr>
        <w:spacing w:after="120"/>
        <w:jc w:val="both"/>
      </w:pPr>
      <w:r>
        <w:rPr>
          <w:rFonts w:ascii="Arial" w:cs="Arial" w:eastAsia="Arial" w:hAnsi="Arial"/>
          <w:sz w:val="24"/>
          <w:szCs w:val="24"/>
        </w:rPr>
        <w:t xml:space="preserve">"88. Официальное опубликование результатов выборов, а также данных о количестве голосов избирателей, полученных каждым из кандидатов на должность Президента, кандидатами в депутаты по одномандатным округам, политической партией и кандидатами из списка кандидатов, голосов, поданных против всех кандидатов, против всех политических партий, включая данные, которые содержатся в протоколах об итогах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2-недельный срок со дня определения результатов выборов.".</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Н.Койчукеева.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rzcsrk09a1yqlb6kci9">
      <w:r>
        <w:rPr>
          <w:rFonts w:ascii="Arial" w:cs="Arial" w:eastAsia="Arial" w:hAnsi="Arial"/>
          <w:color w:val="132D3F"/>
          <w:sz w:val="16"/>
          <w:szCs w:val="16"/>
          <w:u w:val="single"/>
        </w:rPr>
        <w:t xml:space="preserve">dalil.kg/document/600769</w:t>
      </w:r>
    </w:hyperlink>
  </w:p>
  <w:p>
    <w:pPr>
      <w:spacing w:after="0" w:before="40"/>
      <w:jc w:val="center"/>
    </w:pPr>
    <w:hyperlink w:history="1" r:id="rIdw82re8mjs0wfjkoukmx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enbwlphagydnyidxxn" Type="http://schemas.openxmlformats.org/officeDocument/2006/relationships/hyperlink" Target="https://dalil.kg/document/230035246" TargetMode="External"/><Relationship Id="rIdd-icewec2qzhyqexvxsvm" Type="http://schemas.openxmlformats.org/officeDocument/2006/relationships/hyperlink" Target="https://dalil.kg/document/112284" TargetMode="External"/><Relationship Id="rId-qhmjhehperda4wm5ur2r" Type="http://schemas.openxmlformats.org/officeDocument/2006/relationships/hyperlink" Target="https://dalil.kg/document/112260#st_3" TargetMode="External"/><Relationship Id="rIdob9he79avvf5od46u-5ti" Type="http://schemas.openxmlformats.org/officeDocument/2006/relationships/hyperlink" Target="https://dalil.kg/document/112260#st_4" TargetMode="External"/><Relationship Id="rIdba2h-xdeiozzpiq0k_m8s" Type="http://schemas.openxmlformats.org/officeDocument/2006/relationships/hyperlink" Target="https://dalil.kg/document/112260#st_8" TargetMode="External"/><Relationship Id="rId51xbnsreuia1e_eke5kn8" Type="http://schemas.openxmlformats.org/officeDocument/2006/relationships/hyperlink" Target="https://dalil.kg/document/112260#st_4" TargetMode="External"/><Relationship Id="rIdm5vb9lmslpdf1uagelpth"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rzcsrk09a1yqlb6kci9" Type="http://schemas.openxmlformats.org/officeDocument/2006/relationships/hyperlink" Target="https://dalil.kg/document/600769" TargetMode="External"/><Relationship Id="rIdw82re8mjs0wfjkoukmx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2026-09-27T07:06:00.844Z</dcterms:created>
  <dcterms:modified xsi:type="dcterms:W3CDTF">2026-09-27T07:06:00.844Z</dcterms:modified>
</cp:coreProperties>
</file>

<file path=docProps/custom.xml><?xml version="1.0" encoding="utf-8"?>
<Properties xmlns="http://schemas.openxmlformats.org/officeDocument/2006/custom-properties" xmlns:vt="http://schemas.openxmlformats.org/officeDocument/2006/docPropsVTypes"/>
</file>