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октября 2005 года УП № 464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решения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Указов Президента КР от </w:t>
      </w:r>
      <w:hyperlink w:history="1" r:id="rIdjslk-zh4sym7ghckof-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января 2012 года УП № 16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thfcpjk81tperfp8g8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июля 2013 года УП № 157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необходимых условий для независимой и эффективной работы Центральной комиссии по выборам и проведению референдумов Кыргызской Республики, а также дальнейшей оптимизации материально-технического и финансового обеспечения ее деятельности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Установить, что материально-техническое и финансовое обеспечение деятельности Центральной комиссии по выборам и проведению референдумов Кыргызской Республики осуществляется указанным органом самостоятельно.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(Утратил силу в соответствии с </w:t>
      </w:r>
      <w:r>
        <w:rPr>
          <w:rFonts w:ascii="Arial" w:cs="Arial" w:eastAsia="Arial" w:hAnsi="Arial"/>
          <w:sz w:val="24"/>
          <w:szCs w:val="24"/>
        </w:rPr>
        <w:t xml:space="preserve">Указом</w:t>
      </w:r>
      <w:r>
        <w:rPr>
          <w:rFonts w:ascii="Arial" w:cs="Arial" w:eastAsia="Arial" w:hAnsi="Arial"/>
          <w:sz w:val="24"/>
          <w:szCs w:val="24"/>
        </w:rPr>
        <w:t xml:space="preserve"> Президента КР </w:t>
      </w:r>
      <w:hyperlink w:history="1" r:id="rIdlgwtoux5xboyk6muse-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4 июля 2013 года УП № 157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(Утратил силу в соответствии с </w:t>
      </w:r>
      <w:r>
        <w:rPr>
          <w:rFonts w:ascii="Arial" w:cs="Arial" w:eastAsia="Arial" w:hAnsi="Arial"/>
          <w:sz w:val="24"/>
          <w:szCs w:val="24"/>
        </w:rPr>
        <w:t xml:space="preserve">Указом</w:t>
      </w:r>
      <w:r>
        <w:rPr>
          <w:rFonts w:ascii="Arial" w:cs="Arial" w:eastAsia="Arial" w:hAnsi="Arial"/>
          <w:sz w:val="24"/>
          <w:szCs w:val="24"/>
        </w:rPr>
        <w:t xml:space="preserve"> Президента КР </w:t>
      </w:r>
      <w:hyperlink w:history="1" r:id="rIdfc22whsa8uqcgtimhzu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25 января 2012 года УП № 16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делами Президента Кыргызской Республики в установленном порядке передать, а Центральной комиссии по выборам и проведению референдумов Кыргызской Республики принять на баланс финансовые, материально-технические средства и иное имущество Управления делами Президента Кыргызской Республики, используемое для обеспечения деятельности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организационные, финансовые и иные вопросы, вытекающие из данного Указа;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данного Указа возложить на Руководителя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gqk7eknbhfnmfy26cc-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dalil.kg/document/64278</w:t>
      </w:r>
    </w:hyperlink>
  </w:p>
  <w:p>
    <w:pPr>
      <w:spacing w:after="0" w:before="40"/>
      <w:jc w:val="center"/>
    </w:pPr>
    <w:hyperlink w:history="1" r:id="rIdkheexivwafqereqbnx4n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slk-zh4sym7ghckof-ik" Type="http://schemas.openxmlformats.org/officeDocument/2006/relationships/hyperlink" Target="https://dalil.kg/document/61261" TargetMode="External"/><Relationship Id="rId0thfcpjk81tperfp8g8gq" Type="http://schemas.openxmlformats.org/officeDocument/2006/relationships/hyperlink" Target="https://dalil.kg/document/61665" TargetMode="External"/><Relationship Id="rIdlgwtoux5xboyk6muse-ze" Type="http://schemas.openxmlformats.org/officeDocument/2006/relationships/hyperlink" Target="https://dalil.kg/document/61665" TargetMode="External"/><Relationship Id="rIdfc22whsa8uqcgtimhzugr" Type="http://schemas.openxmlformats.org/officeDocument/2006/relationships/hyperlink" Target="https://dalil.kg/document/6126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gqk7eknbhfnmfy26cc-i" Type="http://schemas.openxmlformats.org/officeDocument/2006/relationships/hyperlink" Target="https://dalil.kg/document/64278" TargetMode="External"/><Relationship Id="rIdkheexivwafqereqbnx4n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2026-09-25T05:26:49.265Z</dcterms:created>
  <dcterms:modified xsi:type="dcterms:W3CDTF">2026-09-25T05:26:49.265Z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