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1543-IV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толковании Приложения № 2 к Закону Кыргызской Республики "О ставках платы за пользование природными объектами животного и растительного мира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толковании Приложения № 2 к </w:t>
      </w:r>
      <w:hyperlink w:history="1" r:id="rIdckq6ggmsd8remgq8tkx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платы за пользование природными объектами животного и растительного мира в Кыргызской Республике", инициированный депутатом Жогорку Кенеша Кыргызской Республики Сидоренко Р.В.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wzwc_1ttdqwh1fmwj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dalil.kg/document/70114</w:t>
      </w:r>
    </w:hyperlink>
  </w:p>
  <w:p>
    <w:pPr>
      <w:spacing w:after="0" w:before="40"/>
      <w:jc w:val="center"/>
    </w:pPr>
    <w:hyperlink w:history="1" r:id="rIdv-0goxrrxm90k2c2fzd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q6ggmsd8remgq8tkx1u" Type="http://schemas.openxmlformats.org/officeDocument/2006/relationships/hyperlink" Target="https://dalil.kg/document/2024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wzwc_1ttdqwh1fmwj6n" Type="http://schemas.openxmlformats.org/officeDocument/2006/relationships/hyperlink" Target="https://dalil.kg/document/70114" TargetMode="External"/><Relationship Id="rIdv-0goxrrxm90k2c2fzd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2026-10-05T01:26:45.192Z</dcterms:created>
  <dcterms:modified xsi:type="dcterms:W3CDTF">2026-10-05T01:26:45.192Z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