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0nz1aqulmhqczucu_kkp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26 сентября 2018 года № 2589-VI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10 мая 2017 года № 1565-VI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определении представителя парламентской оппозиции Жогорку Кенеша Кыргызской Республики в состав Совета по государственной гражданской службе и муниципальной службе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части 6 </w:t>
      </w:r>
      <w:r>
        <w:rPr>
          <w:rFonts w:ascii="Arial" w:cs="Arial" w:eastAsia="Arial" w:hAnsi="Arial"/>
          <w:sz w:val="24"/>
          <w:szCs w:val="24"/>
        </w:rPr>
        <w:t xml:space="preserve">статьи 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faxqxoad-xwdcdc2fw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 и </w:t>
      </w:r>
      <w:r>
        <w:rPr>
          <w:rFonts w:ascii="Arial" w:cs="Arial" w:eastAsia="Arial" w:hAnsi="Arial"/>
          <w:sz w:val="24"/>
          <w:szCs w:val="24"/>
        </w:rPr>
        <w:t xml:space="preserve">статьей 127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dstge7cmarilhrfd9k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депутата Жогорку Кенеша Кыргызской Республики Казакбаева Руслана Айтбаевича в качестве представителя парламентской оппозиции в состав Совета по государственной гражданской службе и муниципальной службе сроком на один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1xzhef2nfrmzuzceeqy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dalil.kg/document/78085</w:t>
      </w:r>
    </w:hyperlink>
  </w:p>
  <w:p>
    <w:pPr>
      <w:spacing w:after="0" w:before="40"/>
      <w:jc w:val="center"/>
    </w:pPr>
    <w:hyperlink w:history="1" r:id="rIdfc0s91jmlfgjudrrsers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nz1aqulmhqczucu_kkp0" Type="http://schemas.openxmlformats.org/officeDocument/2006/relationships/hyperlink" Target="https://dalil.kg/document/83388" TargetMode="External"/><Relationship Id="rIdcfaxqxoad-xwdcdc2fwbv" Type="http://schemas.openxmlformats.org/officeDocument/2006/relationships/hyperlink" Target="https://dalil.kg/document/111354" TargetMode="External"/><Relationship Id="rIdvdstge7cmarilhrfd9kmj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1xzhef2nfrmzuzceeqyh" Type="http://schemas.openxmlformats.org/officeDocument/2006/relationships/hyperlink" Target="https://dalil.kg/document/78085" TargetMode="External"/><Relationship Id="rIdfc0s91jmlfgjudrrsers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2026-10-01T06:37:57.313Z</dcterms:created>
  <dcterms:modified xsi:type="dcterms:W3CDTF">2026-10-01T06:37:57.313Z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