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2017 года № 2017-П-14/23-11-(ПС)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нормативные правовые акты и признании утратившими силу некоторых нормативных правовых актов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7vik3tpqvczz0jxwcor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2017 года № 2017-П-14/48-3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wiiiymcdil5-o6uim5q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платежной системе Кыргызской Республики", статьями </w:t>
      </w:r>
      <w:hyperlink w:history="1" r:id="rIdpo6x-orj6r0r50g6kfl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qriptverzu9l17atr4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Республики",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прилагаемые изменения и дополнения в следующие нормативные правовые акты Национального банка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4ohi7kl64met5w7n-b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uaeqxl0rgsetxmqkiav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Банковских идентификационных кодах участников платежной системы Кыргызской Республики" от 23 октября 2004 года № 26/5;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cuqpfdk87cgzhvlnjv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проекте </w:t>
      </w:r>
      <w:hyperlink w:history="1" r:id="rIdhq9qtrpvnjldqlycyva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нумерации банковских расчетных счетов" от 22 февраля 2005 года № 3/5;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h7t8mrqjwsmit7p3lz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"</w:t>
      </w:r>
      <w:hyperlink w:history="1" r:id="rIdlrufgfqblpnimhdjz-u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</w:t>
        </w:r>
      </w:hyperlink>
      <w:r>
        <w:rPr>
          <w:rFonts w:ascii="Arial" w:cs="Arial" w:eastAsia="Arial" w:hAnsi="Arial"/>
          <w:sz w:val="24"/>
          <w:szCs w:val="24"/>
        </w:rPr>
        <w:t xml:space="preserve">л заполнения форматов электронных платежных документов и сообщений Системы пакетного клиринга мелких розничных и регулярных платежей в Кыргызской Республике" от 2 марта 2006 года № 5/10;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f_tjkyx7nvdrb-p9ei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проекта "</w:t>
      </w:r>
      <w:hyperlink w:history="1" r:id="rIdsulkii888q1npcjjzsn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заполнения платежных документов" от 25 июля 2007 года № 36/5;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axr66se7wgh9qft8pru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16 ноября 2017 года N 2017-П-14/48-3)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ehvcl2slcu36xz4s5q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noonpnwmqkjsevctq0p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узле коллективного пользования SWIFT" от 11 февраля 2009 года № 7/4;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oezvorophg8kopw6ms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epuvai33oxh8-fy2lm5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надзора (оверсайта) за платежной системой Кыргызской Республики" от 21 декабря 2015 года № 77/4;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mzbqoyb_rgd5-l_mcr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elgzc21y1loq2swqegv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Политики</w:t>
        </w:r>
      </w:hyperlink>
      <w:r>
        <w:rPr>
          <w:rFonts w:ascii="Arial" w:cs="Arial" w:eastAsia="Arial" w:hAnsi="Arial"/>
          <w:sz w:val="24"/>
          <w:szCs w:val="24"/>
        </w:rPr>
        <w:t xml:space="preserve"> по управлению рисками в платежной системе Кыргызской Республики" от 15 июня 2016 года № 25/8;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n_zfn_isi70oi4tlgp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tau1ss_--mvsr76dfvi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проведении инспекторских проверок операторов платежных систем и платежных организаций" от 30 ноября 2016 года № 47/10.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hxedcnzzzl6bggriwy36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2017 года № 2017-П-14/48-3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следующие нормативные правовые акты Национального банка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Правления Национального банка Кыргызской Республики "О Положении о межбанковских клиринговой и гроссовой системах Кыргызской Республики" от 24 июня 1999 года № 47/2;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Правления Национального банка Кыргызской Республики "О Положении о межбанковских электронных платежных документах" от 24 июня 1999 года № 47/4;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Правления Национального банка Кыргызской Республики "О внесении изменений и дополнений в Положение "О межбанковских электронных платежных документах" от 2 июня 2003 года № 17/2.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22 июня 2017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развития государственного языка и документооборота довести настоящее постановление до сведения структурных подразделений, областных управлений и представительства Национального банка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платежных систем довести настоящее постановление до сведения коммерческих банков, операторов платежных систем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Орозбаеву Л.Дж.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
 к постановлению Правления Национального банка Кыргызской Республики
 от 8 июня 2017 года № 2017-П-14/23-11-(ПС)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ИЗМЕНЕНИЯ И ДОПОЛНЕНИЯ
 в некоторые нормативные правовые акты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asnhaahb8wdsfco3-rlo-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16 ноября 2017 года № 2017-П-14/48-3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Внести в </w:t>
      </w:r>
      <w:hyperlink w:history="1" r:id="rIdtlkjkdd_0fr8we7ghrk-f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2"/>
          <w:szCs w:val="22"/>
        </w:rPr>
        <w:t xml:space="preserve"> Правления Национального банка Кыргызской Республики "Об утверждении </w:t>
      </w:r>
      <w:hyperlink w:history="1" r:id="rIdxufqdme8rubcqltm8-vi7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2"/>
          <w:szCs w:val="22"/>
        </w:rPr>
        <w:t xml:space="preserve"> "О Банковских идентификационных кодах участников платежной системы Кыргызской Республики" от 23 октября 2004 года № 26/5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</w:t>
      </w:r>
      <w:hyperlink w:history="1" r:id="rIdvvuuqmauvkcn03zlmkkz_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2"/>
          <w:szCs w:val="22"/>
        </w:rPr>
        <w:t xml:space="preserve"> о банковских идентификационных кодах участников платежной системы Кыргызской Республики, утвержденном вышеуказанным </w:t>
      </w:r>
      <w:hyperlink w:history="1" r:id="rIdyxujcgxykkqvmo24gsxqa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 всему тексту </w:t>
      </w:r>
      <w:hyperlink w:history="1" r:id="rIdtlswhdmqbeqke5fcvm_or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2"/>
          <w:szCs w:val="22"/>
        </w:rPr>
        <w:t xml:space="preserve"> слова "финансово-кредитные учреждения" заменить словами "финансово-кредитные организации" в соответствующих падежных формах;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пункт 1.1.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пункт 1.2.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"1.2. Настоящее </w:t>
      </w:r>
      <w:hyperlink w:history="1" r:id="rIdnvcwnidy8gkdxtkr6eq7n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2"/>
          <w:szCs w:val="22"/>
        </w:rPr>
        <w:t xml:space="preserve"> о банковских идентификационных кодах участников платежной системы Кыргызской Республики (далее - Положение) определяет структуру банковского идентификационного кода (далее - БИК) участников платежной системы Кыргызской Республики и филиалов участников, структуру справочника БИК (далее - Справочник БИК) и порядок его предоставления участникам и операторам платежной системы.";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пункт 1.3.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"1.3. Настоящее </w:t>
      </w:r>
      <w:hyperlink w:history="1" r:id="rIdhrs7kj1axdngizioyhapm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2"/>
          <w:szCs w:val="22"/>
        </w:rPr>
        <w:t xml:space="preserve"> распространяется на участников платежной системы Кыргызской Республики и их филиалы, осуществляющие платежи в национальной валюте на территории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пункт 2.2.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"2.2. БИК используется в платежных документах при проведении безналичных платежей на территории Кыргызской Республики, в соответствии с законодательством Кыргызской Республики и нормативными правовыми актами Национального банка Кыргызской Республики (далее - Национальный банк).";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пункт 2.4. после слов "Центральное казначейство Министерства финансов" дополнить словами "Кыргызской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Внести в </w:t>
      </w:r>
      <w:hyperlink w:history="1" r:id="rIdsipczqtxfbhu2ocqop551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2"/>
          <w:szCs w:val="22"/>
        </w:rPr>
        <w:t xml:space="preserve"> Правления Национального банка Кыргызской Республики "О проекте </w:t>
      </w:r>
      <w:r>
        <w:rPr>
          <w:rFonts w:ascii="Arial" w:cs="Arial" w:eastAsia="Arial" w:hAnsi="Arial"/>
          <w:sz w:val="22"/>
          <w:szCs w:val="22"/>
        </w:rPr>
        <w:t xml:space="preserve">Инструкции</w:t>
      </w:r>
      <w:r>
        <w:rPr>
          <w:rFonts w:ascii="Arial" w:cs="Arial" w:eastAsia="Arial" w:hAnsi="Arial"/>
          <w:sz w:val="22"/>
          <w:szCs w:val="22"/>
        </w:rPr>
        <w:t xml:space="preserve"> "О порядке нумерации банковских расчетных счетов" от 22 февраля 2005 года № 3/5,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наименовании </w:t>
      </w:r>
      <w:r>
        <w:rPr>
          <w:rFonts w:ascii="Arial" w:cs="Arial" w:eastAsia="Arial" w:hAnsi="Arial"/>
          <w:sz w:val="22"/>
          <w:szCs w:val="22"/>
        </w:rPr>
        <w:t xml:space="preserve">постановления</w:t>
      </w:r>
      <w:r>
        <w:rPr>
          <w:rFonts w:ascii="Arial" w:cs="Arial" w:eastAsia="Arial" w:hAnsi="Arial"/>
          <w:sz w:val="22"/>
          <w:szCs w:val="22"/>
        </w:rPr>
        <w:t xml:space="preserve"> слова "О проекте Инструкции" заменить словами "Об Инструкции";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</w:t>
      </w:r>
      <w:hyperlink w:history="1" r:id="rIdtut90mflwj9qtk8l8s71e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2"/>
          <w:szCs w:val="22"/>
        </w:rPr>
        <w:t xml:space="preserve"> о порядке нумерации банковских расчетных счетов, утвержденной вышеуказанным </w:t>
      </w:r>
      <w:hyperlink w:history="1" r:id="rIdc7yyffexbkecelmciww8c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 всему тексту </w:t>
      </w:r>
      <w:hyperlink w:history="1" r:id="rIdad6tymi6a4r1u_-mqdz18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2"/>
          <w:szCs w:val="22"/>
        </w:rPr>
        <w:t xml:space="preserve"> аббревиатуру "НБКР" заменить словами "Национальный банк"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пункт 1.1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пункт 1.2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"1.2. Целью </w:t>
      </w:r>
      <w:hyperlink w:history="1" r:id="rIdfqa3zgiqp881z-f0eszjd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2"/>
          <w:szCs w:val="22"/>
        </w:rPr>
        <w:t xml:space="preserve"> "О порядке нумерации банковских расчетных счетов" (далее - Инструкция) является установление единой структуры банковского расчетного счета (банковских расчетных счетов физических и юридических лиц, в том числе индивидуальных предпринимателей, резидентов и нерезидентов Кыргызской Республики (далее - клиенты) в финансово-кредитных организациях (далее - банки), лицензируемых Национальным банком Кыргызской Республики (далее - Национальный банк), а также структуры банковских счетов Национального банка.".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Внести в </w:t>
      </w:r>
      <w:hyperlink w:history="1" r:id="rIdh2tnghypfz92fmke1o1rw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2"/>
          <w:szCs w:val="22"/>
        </w:rPr>
        <w:t xml:space="preserve"> Правления Национального банка Кыргызской Республики "Об утверждении "</w:t>
      </w:r>
      <w:hyperlink w:history="1" r:id="rIdrfgmo_jzfioh7fetmplfk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2"/>
          <w:szCs w:val="22"/>
        </w:rPr>
        <w:t xml:space="preserve"> заполнения форматов электронных платежных документов и сообщений Системы пакетного клиринга мелких розничных и регулярных платежей в Кыргызской Республике" от 2 марта 2006 года № 5/10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</w:t>
      </w:r>
      <w:hyperlink w:history="1" r:id="rIdtspcocpvrl8fpvnog3h84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2"/>
          <w:szCs w:val="22"/>
        </w:rPr>
        <w:t xml:space="preserve"> заполнения форматов электронных платежных документов и сообщений Системы пакетного клиринга мелких розничных и регулярных платежей в Кыргызской Республике, утвержденных вышеуказанным </w:t>
      </w:r>
      <w:hyperlink w:history="1" r:id="rIdc7er0jmwc3gjpod9lyqdz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 всему тексту </w:t>
      </w:r>
      <w:hyperlink w:history="1" r:id="rId5csddi5ghsqgvbb1pccjv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2"/>
          <w:szCs w:val="22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аббревиатуру "АСН" заменить аббревиатурой "СПК";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аббревиатуру "НБКР" заменить словами "Национальный банк"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пункт 1.1.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пункте 1.2. после слова "сообщений" дополнить словами "(основанных на стандартах SWIFT)";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пункт 1.5.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"1.5. Термины и определения, используемые в настоящих Правилах, понимаются в значении, определенными </w:t>
      </w:r>
      <w:hyperlink w:history="1" r:id="rIdobnc1kqiqyzbetr3xuyi2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 "О платежной системе Кыргызской Республики" и Положением "О Системе пакетного клиринга мелких розничных и регулярных платежей в Кыргызской Республике", утвержденным постановлением Правления Национального банка Кыргызской Республики от 15 декабря 2005 г. № 37/8. Дополнительно в настоящем документе используются следующие термины и сокращения: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СПК - Система пакетного клиринга мелких розничных и регулярных платежей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BCS/</w:t>
      </w:r>
      <w:r>
        <w:rPr>
          <w:rFonts w:ascii="Arial" w:cs="Arial" w:eastAsia="Arial" w:hAnsi="Arial"/>
          <w:sz w:val="22"/>
          <w:szCs w:val="22"/>
        </w:rPr>
        <w:t xml:space="preserve">X</w:t>
      </w:r>
      <w:r>
        <w:rPr>
          <w:rFonts w:ascii="Arial" w:cs="Arial" w:eastAsia="Arial" w:hAnsi="Arial"/>
          <w:sz w:val="22"/>
          <w:szCs w:val="22"/>
        </w:rPr>
        <w:t xml:space="preserve"> - стандартная система по обработке массовых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"КО" - неуспешный результат обработки сообщений (ошибка);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"ОК" - успешный результат обработки сообщений;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RTGS (Real-Time Gross Settlement system) - Гроссовая система расчетов в режиме реального времени (ГСРРВ);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Пакет - сводное платежное поручение - совокупность платежей в электронном виде, направляемых одному банку-получателю, сгруппированных по одинаковому типу и дате расчета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ЭЦП - электронная цифровая подпись;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ФЧП - файл чистых позиций (является файлом информационного обмена);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ФЛДЧП - файл лимитов дебетовой чистой позиции (является файлом информационного обмена).".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Внести в </w:t>
      </w:r>
      <w:hyperlink w:history="1" r:id="rIdqarbci2rzh5aivg3nx4w3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2"/>
          <w:szCs w:val="22"/>
        </w:rPr>
        <w:t xml:space="preserve"> Правления Национального банка Кыргызской Республики "Об утверждении проекта "</w:t>
      </w:r>
      <w:hyperlink w:history="1" r:id="rIdl87fojztszwgsss8lqtei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2"/>
          <w:szCs w:val="22"/>
        </w:rPr>
        <w:t xml:space="preserve"> о порядке заполнения платежных документов" от 25 июля 2007 года № 36/5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наименовании </w:t>
      </w:r>
      <w:hyperlink w:history="1" r:id="rIdc3q9z98m0gdyq-7iozrnj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2"/>
          <w:szCs w:val="22"/>
        </w:rPr>
        <w:t xml:space="preserve"> слово "проекта"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пункте 1 слова "представленный проект "Инструкции" заменить словом "Инструкцию";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</w:t>
      </w:r>
      <w:hyperlink w:history="1" r:id="rId8brnnepbv8n3fk5djanbf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2"/>
          <w:szCs w:val="22"/>
        </w:rPr>
        <w:t xml:space="preserve"> о порядке заполнения платежных документов, утвержденной вышеуказанным </w:t>
      </w:r>
      <w:hyperlink w:history="1" r:id="rIdf_n1ngcelo1hiqmkbhqjq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пункт 1.1.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пункт 1.3.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"1.3. Настоящая </w:t>
      </w:r>
      <w:hyperlink w:history="1" r:id="rId58d1a4yv4iywozldehay5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Инструкция</w:t>
        </w:r>
      </w:hyperlink>
      <w:r>
        <w:rPr>
          <w:rFonts w:ascii="Arial" w:cs="Arial" w:eastAsia="Arial" w:hAnsi="Arial"/>
          <w:sz w:val="22"/>
          <w:szCs w:val="22"/>
        </w:rPr>
        <w:t xml:space="preserve"> о порядке заполнения платежных документов (далее - Инструкция) определяет формы бланков бумажных платежных документов и порядок заполнения значений их реквизитов. </w:t>
      </w:r>
      <w:hyperlink w:history="1" r:id="rIdisvy6jzdt4mmbeovegfib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Инструкция</w:t>
        </w:r>
      </w:hyperlink>
      <w:r>
        <w:rPr>
          <w:rFonts w:ascii="Arial" w:cs="Arial" w:eastAsia="Arial" w:hAnsi="Arial"/>
          <w:sz w:val="22"/>
          <w:szCs w:val="22"/>
        </w:rPr>
        <w:t xml:space="preserve"> также определяет минимальные требования для бумажных платежных документов, предназначенных для учета внутренних операций банков (мемориальный ордер и объявление на взнос наличными).";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 всему тексту </w:t>
      </w:r>
      <w:hyperlink w:history="1" r:id="rIdzzitrmrmlhxvn9l_mqfwt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2"/>
          <w:szCs w:val="22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слова "финансово-кредитные учреждения" в различных падежах заменить словами "финансово-кредитные организации"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слово "банк-плательщик" в различных падежах заменить словами "банк плательщика"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аббревиатуру "КР" заменить словами "Кыргызская Республика"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пункт 1.5.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"1.5. Платежные документы на бумажном носителе оформляются на бланке, включенном в "Государственный классификатор управленческой документации", утвержденный постановлением Национального статистического комитета Кыргызской Республики от 18 декабря 2015 года № 33.";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подпункты "а)" и "б)" пункта 2.1.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"а) с применением компьютерной техники шрифтом черного цвета;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шариковой ручкой с чернилами, устойчивыми к техническим воздействиям, черного, синего или фиолетового цветов.";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пункте 2.6. после слов "согласно законодательству" дополнить словами "Кыргызской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пункте 2.10. после слов "предусмотренные законодательством" дополнить словами "Кыргызской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подпункте 3.2.2. после слов "определенными законодательством" дополнить словами "Кыргызской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подпункт 3.2.3.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"3.2.3. Платежное поручение должно содержать как минимум следующие реквизиты: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наименование платежного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код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в) порядковый номер документа, число, месяц и год выписки;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г) дату расчета;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д) наименование плательщика, номер его счета, идентификационный номер налогоплательщика (ИНН), код плательщика (ОКПО)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е) регистрационный (для юридических), идентификационный (для физических) номер Социального фонда Кыргызской Республики при уплате взносов на социальное страхование;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ж) наименование банка плательщика, его местонахождение и БИК (банковский идентификационный код);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з) наименование получателя средств, номера его счетов;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и) наименование банка получателя, его местонахождение и БИК (банковский идентификационный код);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к) назначение платежа;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л) код платежа согласно "Государственному классификатору платежного оборота", утвержденному постановлением Правления Национального банка Кыргызской Республики от 30 ноября 2007 года № 51/4;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м) сумму платежа, обозначенную прописью и цифрами;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н) подписи (подпись) уполномоченных лиц (лица) и оттиск печати (в установленных случаях).";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подпункт 3.3.4.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"3.3.4. Платежное поручение на прямое дебетование должно содержать как минимум следующие реквизиты: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наименование платежного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порядковый номер документа, число, месяц и год выписки;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в) дату обработки платежа;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г) наименование плательщика, номер его счета в банке, номер его лицевого счета в организации-получателе денежных средств, идентификационный номер налогоплательщика (ИНН), код плательщика (ОКПО)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д) регистрационный (для юридических), идентификационный (для физических) номер Социального фонда Кыргызской Республики при уплате взносов на социальное страхование;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е) наименование банка плательщика, его местонахождение и БИК (банковский идентификационный код);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ж) наименование получателя средств, номера его счетов;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з) наименование банка получателя, его местонахождение и БИК (банковский идентификационный код);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и) код платежа, согласно "Государственному классификатору платежного оборота";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к) назначение платежа;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л) сумму платежа, обозначенную прописью и цифрами;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м) подписи (подпись) уполномоченных лиц (лица) и оттиск печати (в установленных случаях).";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подпункте 3.4.1: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"а) Сводная ведомость-поручение используется для осуществления выплат заработной платы сотрудникам бюджетных учреждений, пенсий, пособий и других видов выплат, для передачи информации поставщикам регулярных услуг об оплате платежей населением, а также в других отдельно оговоренных случаях.";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подпункт 3.5.2.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"3.5.2. Мемориальный ордер должен содержать как минимум следующие реквизиты: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наименование платежного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код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в) порядковый номер документа, число, месяц и год выписки;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г) наименование плательщика, номер его счета, идентификационный номер налогоплательщика (ИНН);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д) наименование банка плательщика, его местонахождение и БИК (банковский идентификационный код);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е) наименование получателя средств, номера его счетов;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ж) наименование банка получателя, его местонахождение и БИК (банковский идентификационный код);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з) код платежа, согласно "Государственному классификатору платежного оборота";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и) сумму платежа, обозначенную прописью и цифрами;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к) подписи (подпись) уполномоченных лиц (лица) и оттиск штампа (в установленных случаях).";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подпункт 3.6.2.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"3.6.2. Кассовый документ "Объявление на взнос наличными" должен содержать как минимум следующие обязательные реквизиты: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наименование кассового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порядковый номер кассового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в) число, месяц и год его заполнения;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г) наименование вносителя наличных денежных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д) идентификационный код вносителя наличных денежных средств (ОКПО)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е) идентификационный налоговый номер (ИНН) вносителя наличных денежных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ж) регистрационный номер вносителя наличных денежных средств в Социальном фонде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з) наименование банка получателя и номер его кассового счета;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и) наименование получателя средств и номер его счета;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к) назначение платежа;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л) сумму взноса, обозначенную прописью и цифрами;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м) подпись вносителя наличных денежных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н) подписи уполномоченных лиц (лица) финансово-кредитной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о) оттиск печати финансово-кредитной организации.";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пункте 4.3. после слов "установленного законодательством" дополнить словами "Кыргызской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Приложении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Унифицированной форме платежного поручения слова "Жонотуу ыкмасы 4 Способ отправления"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таблице "Порядок заполнения значений реквизитов унифицированной формы платежного поручения":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строку четвертую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строки седьмую, восьмую и девятую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7"/>
        <w:gridCol w:w="1144"/>
        <w:gridCol w:w="4675"/>
        <w:gridCol w:w="4093"/>
      </w:tblGrid>
      <w:tr>
        <w:tc>
          <w:tcPr>
            <w:tcW w:type="dxa" w:w="2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1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Плательщик</w:t>
            </w:r>
          </w:p>
        </w:tc>
        <w:tc>
          <w:tcPr>
            <w:tcW w:type="dxa" w:w="46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наименование плательщика средств. Допускаются общепринятые сокращения (ОАО, ОсОО и т.п.), в случае, если плательщик является физическим лицом, указываются его ФИО</w:t>
            </w:r>
          </w:p>
        </w:tc>
        <w:tc>
          <w:tcPr>
            <w:tcW w:type="dxa" w:w="4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ОКПО</w:t>
            </w:r>
          </w:p>
        </w:tc>
        <w:tc>
          <w:tcPr>
            <w:tcW w:type="dxa" w:w="4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идентификационный код плательщика - ОКПО, присваиваемый в соответствии с законодательством Кыргызской Республики</w:t>
            </w:r>
          </w:p>
        </w:tc>
        <w:tc>
          <w:tcPr>
            <w:tcW w:type="dxa" w:w="4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Обязательно к заполнению всеми юридическими и физическими лицами, осуществляющими экономическую деятельность на территории Кыргызской Республики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ИНН</w:t>
            </w:r>
          </w:p>
        </w:tc>
        <w:tc>
          <w:tcPr>
            <w:tcW w:type="dxa" w:w="4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(если он присвоен) Идентификационный номер налогоплательщика (14 знаков), присваиваемый в соответствии с нормативными правовыми актами Кыргызской Республики</w:t>
            </w:r>
          </w:p>
        </w:tc>
        <w:tc>
          <w:tcPr>
            <w:tcW w:type="dxa" w:w="4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Обязательно к заполнению всеми юридическими и физическими лицами, осуществляющими экономическую деятельность на территории Кыргызской Республики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строки одиннадцатую, двенадцатую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1510"/>
        <w:gridCol w:w="7929"/>
        <w:gridCol w:w="385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15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Банк плательщика</w:t>
            </w:r>
          </w:p>
        </w:tc>
        <w:tc>
          <w:tcPr>
            <w:tcW w:type="dxa" w:w="79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наименование и местонахождение банка плательщика. Допускаются сокращения, закрепленные в Уставе банка</w:t>
            </w:r>
          </w:p>
        </w:tc>
        <w:tc>
          <w:tcPr>
            <w:tcW w:type="dxa" w:w="3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Дебет Счет №</w:t>
            </w:r>
          </w:p>
        </w:tc>
        <w:tc>
          <w:tcPr>
            <w:tcW w:type="dxa" w:w="7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Номер счета плательщика в банке плательщика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строку четырнадцатую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1504"/>
        <w:gridCol w:w="7935"/>
        <w:gridCol w:w="385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15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Получатель</w:t>
            </w:r>
          </w:p>
        </w:tc>
        <w:tc>
          <w:tcPr>
            <w:tcW w:type="dxa" w:w="79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наименование получателя средств. Допускаются общепринятые сокращения (ОАО, ОсОО и т.п.)</w:t>
            </w:r>
          </w:p>
        </w:tc>
        <w:tc>
          <w:tcPr>
            <w:tcW w:type="dxa" w:w="3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строку шестнадцатую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1504"/>
        <w:gridCol w:w="7935"/>
        <w:gridCol w:w="385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15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Банк-получателя</w:t>
            </w:r>
          </w:p>
        </w:tc>
        <w:tc>
          <w:tcPr>
            <w:tcW w:type="dxa" w:w="79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наименование и местонахождение банка получателя. Допускаются сокращения, закрепленные в Уставе банка</w:t>
            </w:r>
          </w:p>
        </w:tc>
        <w:tc>
          <w:tcPr>
            <w:tcW w:type="dxa" w:w="3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Приложении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таблице "Порядок заполнения значений реквизитов платежного поручения на прямое дебетование":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строки пятую, шестую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6"/>
        <w:gridCol w:w="1514"/>
        <w:gridCol w:w="4893"/>
        <w:gridCol w:w="3425"/>
      </w:tblGrid>
      <w:tr>
        <w:tc>
          <w:tcPr>
            <w:tcW w:type="dxa" w:w="3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ОКПО</w:t>
            </w:r>
          </w:p>
        </w:tc>
        <w:tc>
          <w:tcPr>
            <w:tcW w:type="dxa" w:w="48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идентификационный код плательщика - ОКПО, присваиваемый в соответствии с законодательством Кыргызской Республики</w:t>
            </w:r>
          </w:p>
        </w:tc>
        <w:tc>
          <w:tcPr>
            <w:tcW w:type="dxa" w:w="3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Обязательно к заполнению всеми юридическими и физическими лицами, осуществляющими экономическую деятельность на территории Кыргызской Республики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ИНН</w:t>
            </w:r>
          </w:p>
        </w:tc>
        <w:tc>
          <w:tcPr>
            <w:tcW w:type="dxa" w:w="4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Идентификационный номер налогоплательщика (14 знаков), присваиваемый в соответствии с нормативными правовыми актами Кыргызской Республики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Обязательно к заполнению всеми юридическими и физическими лицами, осуществляющими экономическую деятельность на территории Кыргызской Республики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строки девятую, десятую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1397"/>
        <w:gridCol w:w="8042"/>
        <w:gridCol w:w="385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1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Плательщик</w:t>
            </w:r>
          </w:p>
        </w:tc>
        <w:tc>
          <w:tcPr>
            <w:tcW w:type="dxa" w:w="8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наименование клиента-плательщика. Допускаются общепринятые сокращения (ОАО, ОсОО и т.п.). В случае, если плательщик является физическим лицом, указываются его ФИО</w:t>
            </w:r>
          </w:p>
        </w:tc>
        <w:tc>
          <w:tcPr>
            <w:tcW w:type="dxa" w:w="3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Банк плательщика</w:t>
            </w:r>
          </w:p>
        </w:tc>
        <w:tc>
          <w:tcPr>
            <w:tcW w:type="dxa" w:w="8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наименование банка плательщика. Допускаются сокращения, закрепленные в Уставе банка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строку тринадцатую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1388"/>
        <w:gridCol w:w="8051"/>
        <w:gridCol w:w="385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1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Получатель</w:t>
            </w:r>
          </w:p>
        </w:tc>
        <w:tc>
          <w:tcPr>
            <w:tcW w:type="dxa" w:w="80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наименование организации получателя денежных средств. Допускаются общепринятые сокращения (ОАО, ОсОО и т.п.)</w:t>
            </w:r>
          </w:p>
        </w:tc>
        <w:tc>
          <w:tcPr>
            <w:tcW w:type="dxa" w:w="3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строку семнадцатую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1464"/>
        <w:gridCol w:w="7975"/>
        <w:gridCol w:w="385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14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Банк получателя</w:t>
            </w:r>
          </w:p>
        </w:tc>
        <w:tc>
          <w:tcPr>
            <w:tcW w:type="dxa" w:w="79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наименование банка получателя. Допускаются сокращения, закрепленные в Уставе банка</w:t>
            </w:r>
          </w:p>
        </w:tc>
        <w:tc>
          <w:tcPr>
            <w:tcW w:type="dxa" w:w="3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Приложении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Форме мемориального ордера слова "Форма коду 3 Код формы"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таблице "Порядок заполнения значений реквизитов мемориального ордера":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строку третью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строку четвертую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7"/>
        <w:gridCol w:w="1710"/>
        <w:gridCol w:w="5008"/>
        <w:gridCol w:w="3194"/>
      </w:tblGrid>
      <w:tr>
        <w:tc>
          <w:tcPr>
            <w:tcW w:type="dxa" w:w="2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7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ИНН</w:t>
            </w:r>
          </w:p>
        </w:tc>
        <w:tc>
          <w:tcPr>
            <w:tcW w:type="dxa" w:w="50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(если он присвоен) Идентификационный номер налогоплательщика (14 знаков), присваиваемый в соответствии с нормативными правовыми актами Кыргызской Республики</w:t>
            </w:r>
          </w:p>
        </w:tc>
        <w:tc>
          <w:tcPr>
            <w:tcW w:type="dxa" w:w="31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Обязательно к заполнению всеми юридическими и физическими лицами, осуществляющими экономическую деятельность на территории Кыргызской Республики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строку шестую, седьмую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7"/>
        <w:gridCol w:w="1716"/>
        <w:gridCol w:w="5058"/>
        <w:gridCol w:w="3137"/>
      </w:tblGrid>
      <w:tr>
        <w:tc>
          <w:tcPr>
            <w:tcW w:type="dxa" w:w="2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7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Плательщик</w:t>
            </w:r>
          </w:p>
        </w:tc>
        <w:tc>
          <w:tcPr>
            <w:tcW w:type="dxa" w:w="50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наименование плательщика средств. Допускаются общепринятые сокращения (ОАО, ОсОО и т.п.). В случае, если плательщик является физическим лицом, указываются его ФИО</w:t>
            </w:r>
          </w:p>
        </w:tc>
        <w:tc>
          <w:tcPr>
            <w:tcW w:type="dxa" w:w="31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Обязательно при проведении отдельных видов расчетов банка с клиентами согласно заключенных договоров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банка плательщика</w:t>
            </w:r>
          </w:p>
        </w:tc>
        <w:tc>
          <w:tcPr>
            <w:tcW w:type="dxa" w:w="5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наименование и местонахождение банка плательщика. Допускаются сокращения, закрепленные в Уставе банка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Обязательно при проведении отдельных видов расчетов банка с клиентами, согласно заключенных договоров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строку девятую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7"/>
        <w:gridCol w:w="1710"/>
        <w:gridCol w:w="5008"/>
        <w:gridCol w:w="3194"/>
      </w:tblGrid>
      <w:tr>
        <w:tc>
          <w:tcPr>
            <w:tcW w:type="dxa" w:w="2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17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Получатель</w:t>
            </w:r>
          </w:p>
        </w:tc>
        <w:tc>
          <w:tcPr>
            <w:tcW w:type="dxa" w:w="50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наименование получателя денежных средств. Допускаются общепринятые сокращения (ОАО, ОсОО и т.п.)</w:t>
            </w:r>
          </w:p>
        </w:tc>
        <w:tc>
          <w:tcPr>
            <w:tcW w:type="dxa" w:w="31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Обязательно при проведении отдельных видов расчетов банка с клиентами, согласно заключенных договоров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строку двенадцатую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"/>
        <w:gridCol w:w="1620"/>
        <w:gridCol w:w="5008"/>
        <w:gridCol w:w="3194"/>
      </w:tblGrid>
      <w:tr>
        <w:tc>
          <w:tcPr>
            <w:tcW w:type="dxa" w:w="3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1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банка получателя</w:t>
            </w:r>
          </w:p>
        </w:tc>
        <w:tc>
          <w:tcPr>
            <w:tcW w:type="dxa" w:w="50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наименование и местонахождение банка получателя. Допускаются сокращения, закрепленные в Уставе банка</w:t>
            </w:r>
          </w:p>
        </w:tc>
        <w:tc>
          <w:tcPr>
            <w:tcW w:type="dxa" w:w="31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Обязательно при проведении отдельных видов расчетов банка с клиентами, согласно заключенных договоров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Приложении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таблице "Порядок заполнения значений реквизитов Объявления на взнос наличными":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строки четвертую, пятую, шестую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7"/>
        <w:gridCol w:w="1710"/>
        <w:gridCol w:w="5008"/>
        <w:gridCol w:w="3194"/>
      </w:tblGrid>
      <w:tr>
        <w:tc>
          <w:tcPr>
            <w:tcW w:type="dxa" w:w="2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7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вносителя</w:t>
            </w:r>
          </w:p>
        </w:tc>
        <w:tc>
          <w:tcPr>
            <w:tcW w:type="dxa" w:w="50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вносителя наличных денежных средств. Допускаются общепринятые сокращения (ОАО, ОсОО и т.п.). В случае, если вноситель наличных денежных средств является физическим лицом, указываются его ФИО</w:t>
            </w:r>
          </w:p>
        </w:tc>
        <w:tc>
          <w:tcPr>
            <w:tcW w:type="dxa" w:w="31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ОКПО</w:t>
            </w:r>
          </w:p>
        </w:tc>
        <w:tc>
          <w:tcPr>
            <w:tcW w:type="dxa" w:w="5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идентификационный код плательщика, вносителя наличных денежных средств - ОКПО, присваиваемый в соответствии с законодательством Кыргызской Республики</w:t>
            </w:r>
          </w:p>
        </w:tc>
        <w:tc>
          <w:tcPr>
            <w:tcW w:type="dxa" w:w="3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Обязательно к заполнению всеми юридическими и физическими лицами, осуществляющими экономическую деятельность на территории Кыргызской Республики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ИНН</w:t>
            </w:r>
          </w:p>
        </w:tc>
        <w:tc>
          <w:tcPr>
            <w:tcW w:type="dxa" w:w="5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Идентификационный номер налогоплательщика (14 знаков), присваиваемый в соответствии с нормативными правовыми актами Кыргызской Республики</w:t>
            </w:r>
          </w:p>
        </w:tc>
        <w:tc>
          <w:tcPr>
            <w:tcW w:type="dxa" w:w="3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Обязательно к заполнению всеми юридическими и физическими лицами, осуществляющими экономическую деятельность на территории Кыргызской Республики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строки восьмую, девятую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7"/>
        <w:gridCol w:w="1710"/>
        <w:gridCol w:w="7817"/>
        <w:gridCol w:w="385"/>
      </w:tblGrid>
      <w:tr>
        <w:tc>
          <w:tcPr>
            <w:tcW w:type="dxa" w:w="2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17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Получатель</w:t>
            </w:r>
          </w:p>
        </w:tc>
        <w:tc>
          <w:tcPr>
            <w:tcW w:type="dxa" w:w="78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наименование получателя денежных средств. Допускаются общепринятые сокращения (ОАО, ОсОО и т.п.)</w:t>
            </w:r>
          </w:p>
        </w:tc>
        <w:tc>
          <w:tcPr>
            <w:tcW w:type="dxa" w:w="3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Банк получателя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Указывается наименование и местонахождение банка плательщика. Допускаются сокращения, закрепленные в Уставе банка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5. (Утратил силу в соответствии с </w:t>
      </w:r>
      <w:hyperlink w:history="1" r:id="rIdmevhmnkmq9ox4rrmag1ss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Правления Нацбанка КР от 16 ноября 2017 года № 2017-П-14/48-3)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 Внести в </w:t>
      </w:r>
      <w:hyperlink w:history="1" r:id="rId6sf-rnfenlovtx-hg2gt4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2"/>
          <w:szCs w:val="22"/>
        </w:rPr>
        <w:t xml:space="preserve"> Правления Национального банка Кыргызской Республики "Об утверждении </w:t>
      </w:r>
      <w:hyperlink w:history="1" r:id="rIdht925c0v3uguogsd3mplw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2"/>
          <w:szCs w:val="22"/>
        </w:rPr>
        <w:t xml:space="preserve"> "Об узле коллективного пользования SWIFT" от 11 февраля 2009 года № 7/4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</w:t>
      </w:r>
      <w:hyperlink w:history="1" r:id="rId927yc5h4oc-9t7nvxnfk9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2"/>
          <w:szCs w:val="22"/>
        </w:rPr>
        <w:t xml:space="preserve"> об узле коллективного пользования SWIFT, утвержденном вышеуказанным </w:t>
      </w:r>
      <w:hyperlink w:history="1" r:id="rIdh6obwwqpcuoi1ljucxv3l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 всему тексту </w:t>
      </w:r>
      <w:hyperlink w:history="1" r:id="rIdex8ocwpec5oiv3d9umhe2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2"/>
          <w:szCs w:val="22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слова "пользователь" в различных падежах и числах заменить словами "Участник" в соответствующих падежах и числах;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слова и аббревиатуру "интерфейс SWIFT" и "интерфейсы SWIFT" в различных падежах заменить словами и аббревиатурой "интерфейс/сервера SWIFT"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слова и аббревиатуру "терминал SWIFT" и "терминалы SWIFT" в различных падежах заменить словами и аббревиатурами "терминал SWIFT/сервера SWIFT"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слова и аббревиатуры "серверов и дискового массива SWIFT" и "серверов, дискового массива SWIFT" в различных падежах заменить словами и аббревиатурой "серверного оборудования SWIFT"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слова "программное обеспечение" в различных падежах заменить аббревиатурой "ПО";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аббревиатуру "НБКР" заменить словами "Национальный банк"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пункт 1.1.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подпункт "г)" пункта 2.4.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"г) нормативными правовыми актами, регулирующими работу с УКП SWIFT, разработанными Национальным банком (далее - нормативные правовые акты Национального банка);";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</w:t>
      </w:r>
      <w:hyperlink w:history="1" r:id="rIdxvr_wckuw8cxbukh8f3l1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2"/>
          <w:szCs w:val="22"/>
        </w:rPr>
        <w:t xml:space="preserve"> дополнить пунктом 2.5.-1.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"2.5.-1. Существует два способа подключения Участников к УКП SWIFT: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с использованием инфраструктуры УКП SWIFT для подготовки сообщений SWIFT (shared SAA&amp;SAG);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с использованием собственных серверов для подготовки сообщений SWIFT (shared SAG).";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пункт 2.6.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"2.6. В случае использования инфраструктуры УКП SWIFT для подготовки сообщений SWIFT доступ пользователей Участника к интерфейсу/серверам SWIFT осуществляется через рабочие станции SWIFT (далее терминалы SWIFT). Поддержка и функционирование соответствующего терминала SWIFT обеспечивается персоналом по сопровождению каждого Участника самостоятельно.";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</w:t>
      </w:r>
      <w:hyperlink w:history="1" r:id="rIdvht-h03qopkupab0nfbja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2"/>
          <w:szCs w:val="22"/>
        </w:rPr>
        <w:t xml:space="preserve"> дополнить пунктом 2.6.-1.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"2.6.-1. В случае использования собственных серверов для подготовки сообщений SWIFT доступ пользователей Участника к интерфейсу/серверам SWIFT осуществляется через терминалы SWIFT, подключенные к собственным серверам подготовки сообщений SWIFT. Поддержка и функционирование соответствующих серверов и терминалов SWIFT обеспечивается персоналом по сопровождению каждого Участника самостоятельно.";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пункте 2.9. слова "следующих специалистов"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</w:t>
      </w:r>
      <w:hyperlink w:history="1" r:id="rIdspbtf1f3na5pfwhepxltr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2"/>
          <w:szCs w:val="22"/>
        </w:rPr>
        <w:t xml:space="preserve"> дополнить пунктом 2.14.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"2.14. Деятельность УКП SWIFT подлежит обязательной сертификации на соответствие требованиям SWIFT, для организаций, предоставляющих услуги подключения других участников SWIFT через общую инфраструктуру.";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пункт 3.1. дополнить подпунктом "г)"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"г) ежегодный аудит на соответствие требованиям SWIFT.";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подпункт "б)" пункта 3.2.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"б) отдельного сегмента локальной сети для терминалов/серверов SWIFT Участников;";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абзаце шестом подпункта 3 пункта 4.2. слова "выделенной линии" заменить словами "VPN канала";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пункте 5.1: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подпункте 5) аббревиатуру "НБКР" заменить словами "нормативными правовыми актами Национального банка";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Приложении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подпункт "г)"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подпункт "ж)"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"ж) настройка параметров безопасности в соответствии с требованиями, утвержденными SWIFT и Администраторами ИБ;";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подпункт "л)"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"л) соблюдение требований информационной безопасности, утвержденных SWIFT и Администраторами ИБ при работе с административными паролями.";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подпункты "г)" и "д)" пункта 4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7. Внести в </w:t>
      </w:r>
      <w:hyperlink w:history="1" r:id="rIdjqwgtlhxqefi01v53lnyw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2"/>
          <w:szCs w:val="22"/>
        </w:rPr>
        <w:t xml:space="preserve"> Правления Национального банка Кыргызской Республики "О </w:t>
      </w:r>
      <w:hyperlink w:history="1" r:id="rIdrqkolizhze0f_xg8k8xl4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2"/>
          <w:szCs w:val="22"/>
        </w:rPr>
        <w:t xml:space="preserve"> осуществления надзора (оверсайта) за платежной системой Кыргызской Республики" от 21 декабря 2015 года № 77/4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</w:t>
      </w:r>
      <w:hyperlink w:history="1" r:id="rId2kag-d2fvji2ajj1jdj5i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2"/>
          <w:szCs w:val="22"/>
        </w:rPr>
        <w:t xml:space="preserve"> осуществления надзора (оверсайта) за платежной системой Кыргызской Республики, утвержденных вышеуказанным </w:t>
      </w:r>
      <w:hyperlink w:history="1" r:id="rIdjjwzms-w29yg741v3xddj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пункт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пункте 2 после слова "Правила" дополнить словами "осуществления надзора (оверсайта) за платежной системой Кыргызской Республики (далее - Правила)";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пункт 30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"30. В случаях нарушения законодательства Кыргызской Республики, а также невыполнения решений, принятых заключений по результатам анализа систем оператора платежной системы, Национальный банк направляет операторам платежных систем и участникам платежной системы предупреждение и/или, применяет следующие меры воздействия: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предписание;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штрафные санкции;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временное приостановление или ограничение на проведение отдельных видов платежей и операций в рамках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отзыв лицензии.".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8. Внести в </w:t>
      </w:r>
      <w:hyperlink w:history="1" r:id="rIdzza4ftmr5jbcajqkv5-od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2"/>
          <w:szCs w:val="22"/>
        </w:rPr>
        <w:t xml:space="preserve"> Правления Национального банка Кыргызской Республики "Об утверждении </w:t>
      </w:r>
      <w:hyperlink w:history="1" r:id="rId11vaa-hvdydawvvmi_cjg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Политики</w:t>
        </w:r>
      </w:hyperlink>
      <w:r>
        <w:rPr>
          <w:rFonts w:ascii="Arial" w:cs="Arial" w:eastAsia="Arial" w:hAnsi="Arial"/>
          <w:sz w:val="22"/>
          <w:szCs w:val="22"/>
        </w:rPr>
        <w:t xml:space="preserve"> по управлению рисками в платежной системе Кыргызской Республики" от 15 июня 2016 года № 25/8,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</w:t>
      </w:r>
      <w:hyperlink w:history="1" r:id="rIdjehaq84ljfhpn54qdx_9t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Политике</w:t>
        </w:r>
      </w:hyperlink>
      <w:r>
        <w:rPr>
          <w:rFonts w:ascii="Arial" w:cs="Arial" w:eastAsia="Arial" w:hAnsi="Arial"/>
          <w:sz w:val="22"/>
          <w:szCs w:val="22"/>
        </w:rPr>
        <w:t xml:space="preserve"> по управлению рисками в платежной системе Кыргызской Республики, утвержденной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пункт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пункте 2 слова "финансово-кредитных учреждений" заменить словами "финансово-кредитных организаций";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абзаце седьмом главы 2 слова "финансово-кредитными учреждениями" заменить словами "финансово-кредитными организациями";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подпункте 8.8.1 после слов "в соответствии с нормативными правовыми актами Национального банка" дополнить словами ", договорами и соглашениями, заключенными между Национальным банком и коммерческими банками.";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подпункт 8.8.2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"8.8.2. Внутридневной кредит должен быть доступен для прямых участников платежных систем (банков), соответствующих требованиям </w:t>
      </w:r>
      <w:r>
        <w:rPr>
          <w:rFonts w:ascii="Arial" w:cs="Arial" w:eastAsia="Arial" w:hAnsi="Arial"/>
          <w:sz w:val="22"/>
          <w:szCs w:val="22"/>
        </w:rPr>
        <w:t xml:space="preserve">Положения</w:t>
      </w:r>
      <w:r>
        <w:rPr>
          <w:rFonts w:ascii="Arial" w:cs="Arial" w:eastAsia="Arial" w:hAnsi="Arial"/>
          <w:sz w:val="22"/>
          <w:szCs w:val="22"/>
        </w:rPr>
        <w:t xml:space="preserve"> "О внутридневном кредите Национального банка Кыргызской Республики", утвержденного </w:t>
      </w:r>
      <w:r>
        <w:rPr>
          <w:rFonts w:ascii="Arial" w:cs="Arial" w:eastAsia="Arial" w:hAnsi="Arial"/>
          <w:sz w:val="22"/>
          <w:szCs w:val="22"/>
        </w:rPr>
        <w:t xml:space="preserve">постановлением</w:t>
      </w:r>
      <w:r>
        <w:rPr>
          <w:rFonts w:ascii="Arial" w:cs="Arial" w:eastAsia="Arial" w:hAnsi="Arial"/>
          <w:sz w:val="22"/>
          <w:szCs w:val="22"/>
        </w:rPr>
        <w:t xml:space="preserve"> Правления Национального банка Кыргызской Республики от 28 марта 2013 г. № 10/8";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пункт 8.8.4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"8.8.4. Кредит "овернайт" должен быть доступен только для прямых участников платежных систем (банков), соответствующих требованиям, предусмотренным </w:t>
      </w:r>
      <w:r>
        <w:rPr>
          <w:rFonts w:ascii="Arial" w:cs="Arial" w:eastAsia="Arial" w:hAnsi="Arial"/>
          <w:sz w:val="22"/>
          <w:szCs w:val="22"/>
        </w:rPr>
        <w:t xml:space="preserve">Положением</w:t>
      </w:r>
      <w:r>
        <w:rPr>
          <w:rFonts w:ascii="Arial" w:cs="Arial" w:eastAsia="Arial" w:hAnsi="Arial"/>
          <w:sz w:val="22"/>
          <w:szCs w:val="22"/>
        </w:rPr>
        <w:t xml:space="preserve"> "О кредите "Овернайт" Национального банка Кыргызской Республики", утвержденным </w:t>
      </w:r>
      <w:r>
        <w:rPr>
          <w:rFonts w:ascii="Arial" w:cs="Arial" w:eastAsia="Arial" w:hAnsi="Arial"/>
          <w:sz w:val="22"/>
          <w:szCs w:val="22"/>
        </w:rPr>
        <w:t xml:space="preserve">постановлением</w:t>
      </w:r>
      <w:r>
        <w:rPr>
          <w:rFonts w:ascii="Arial" w:cs="Arial" w:eastAsia="Arial" w:hAnsi="Arial"/>
          <w:sz w:val="22"/>
          <w:szCs w:val="22"/>
        </w:rPr>
        <w:t xml:space="preserve"> Правления Национального банка от 28 марта 2013 г. № 10/7.";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подпункте 20.3 слова "с нормативными правовыми актами Национального банка" заменить словами "с </w:t>
      </w:r>
      <w:hyperlink w:history="1" r:id="rIdgcamjgyubrlamwbfteic9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2"/>
          <w:szCs w:val="22"/>
        </w:rPr>
        <w:t xml:space="preserve"> осуществления денежных переводов по системам денежных переводов в Кыргызской Республике", утвержденными </w:t>
      </w:r>
      <w:hyperlink w:history="1" r:id="rIdvdjprljrjob-w_rwq6isu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Правления Национального банка Кыргызской Республики от 15 июля 2009 г. № 30/6".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9. Внести в </w:t>
      </w:r>
      <w:hyperlink w:history="1" r:id="rIdh0ynbqg7jfnp8t1j7j6g-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2"/>
          <w:szCs w:val="22"/>
        </w:rPr>
        <w:t xml:space="preserve"> Правления Национального банка Кыргызской Республики "Об утверждении </w:t>
      </w:r>
      <w:r>
        <w:rPr>
          <w:rFonts w:ascii="Arial" w:cs="Arial" w:eastAsia="Arial" w:hAnsi="Arial"/>
          <w:sz w:val="22"/>
          <w:szCs w:val="22"/>
        </w:rPr>
        <w:t xml:space="preserve">Инструкции</w:t>
      </w:r>
      <w:r>
        <w:rPr>
          <w:rFonts w:ascii="Arial" w:cs="Arial" w:eastAsia="Arial" w:hAnsi="Arial"/>
          <w:sz w:val="22"/>
          <w:szCs w:val="22"/>
        </w:rPr>
        <w:t xml:space="preserve"> "О проведении инспекторских проверок деятельности операторов платежных систем и платежных организаций" от 30 ноября 2016 года № 47/10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</w:t>
      </w:r>
      <w:hyperlink w:history="1" r:id="rIdiztmpogahljwrcl8zusy6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2"/>
          <w:szCs w:val="22"/>
        </w:rPr>
        <w:t xml:space="preserve"> о проведении инспекторских проверок деятельности операторов платежных систем и платежных организаций, утвержденной вышеуказанным </w:t>
      </w:r>
      <w:hyperlink w:history="1" r:id="rId5vt2xx0imfmjmzjybxh86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пункт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пункте 2 после слова "Инструкция" дополнить словами "О проведении инспекторских проверок деятельности операторов платежных систем и платежных организаций" (далее - Инструкция)";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во втором предложении пункта 12 слова "может предъявляться" заменить словом "предъявляется";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пункте 34 слова "законодательством Кыргызской Республики" заменить словами "законами Кыргызской Республики "О Национальном банке Кыргызской Республики, банках и банковской деятельности", "О платежной системе Кыргызской Республики", Положением "О мерах воздействия, применяемых к операторам платежных систем/платежным организациям", утвержденным </w:t>
      </w:r>
      <w:r>
        <w:rPr>
          <w:rFonts w:ascii="Arial" w:cs="Arial" w:eastAsia="Arial" w:hAnsi="Arial"/>
          <w:sz w:val="22"/>
          <w:szCs w:val="22"/>
        </w:rPr>
        <w:t xml:space="preserve">постановлением</w:t>
      </w:r>
      <w:r>
        <w:rPr>
          <w:rFonts w:ascii="Arial" w:cs="Arial" w:eastAsia="Arial" w:hAnsi="Arial"/>
          <w:sz w:val="22"/>
          <w:szCs w:val="22"/>
        </w:rPr>
        <w:t xml:space="preserve"> Правления Национального банка от 28 декабря 2016 г. № 51/1 и другими нормативными правовыми актами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пункте 50 слова "согласно нормативным документам Национального банка" заменить словами "в соответствии с нормативными правовыми актами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пункте 56 слова "нормативными правовыми актами Кыргызской Республики и Национального банка" заменить словами "Положением "О досудебном регулировании споров между Национальным банком Кыргызской Республики и коммерческими банками, организациями, осуществляющими отдельные виды банковских операций, и их учредителями (участниками), юридическими и физическими лицами", утвержденным постановлением Правления Национального банка от 17 мая 2017 г. № 19/13.".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9ebsz-5ieipry7a02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dalil.kg/document/800025</w:t>
      </w:r>
    </w:hyperlink>
  </w:p>
  <w:p>
    <w:pPr>
      <w:spacing w:after="0" w:before="40"/>
      <w:jc w:val="center"/>
    </w:pPr>
    <w:hyperlink w:history="1" r:id="rIdbzyhfzyb5-fclvonkvz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vik3tpqvczz0jxwcorfv" Type="http://schemas.openxmlformats.org/officeDocument/2006/relationships/hyperlink" Target="https://dalil.kg/document/800023" TargetMode="External"/><Relationship Id="rIdwiiiymcdil5-o6uim5q4x" Type="http://schemas.openxmlformats.org/officeDocument/2006/relationships/hyperlink" Target="https://dalil.kg/document/205425#st_26" TargetMode="External"/><Relationship Id="rIdpo6x-orj6r0r50g6kflzs" Type="http://schemas.openxmlformats.org/officeDocument/2006/relationships/hyperlink" Target="https://dalil.kg/document/111486#st_7" TargetMode="External"/><Relationship Id="rIdaqriptverzu9l17atr4r_" Type="http://schemas.openxmlformats.org/officeDocument/2006/relationships/hyperlink" Target="https://dalil.kg/document/111486#st_43" TargetMode="External"/><Relationship Id="rIdx4ohi7kl64met5w7n-bf9" Type="http://schemas.openxmlformats.org/officeDocument/2006/relationships/hyperlink" Target="https://dalil.kg/document/31441" TargetMode="External"/><Relationship Id="rIduaeqxl0rgsetxmqkiavzk" Type="http://schemas.openxmlformats.org/officeDocument/2006/relationships/hyperlink" Target="https://dalil.kg/document/31442" TargetMode="External"/><Relationship Id="rIdicuqpfdk87cgzhvlnjvyp" Type="http://schemas.openxmlformats.org/officeDocument/2006/relationships/hyperlink" Target="https://dalil.kg/document/31140" TargetMode="External"/><Relationship Id="rIdhq9qtrpvnjldqlycyva8s" Type="http://schemas.openxmlformats.org/officeDocument/2006/relationships/hyperlink" Target="https://dalil.kg/document/31141" TargetMode="External"/><Relationship Id="rId7h7t8mrqjwsmit7p3lz3z" Type="http://schemas.openxmlformats.org/officeDocument/2006/relationships/hyperlink" Target="https://dalil.kg/document/301133" TargetMode="External"/><Relationship Id="rIdlrufgfqblpnimhdjz-uzr" Type="http://schemas.openxmlformats.org/officeDocument/2006/relationships/hyperlink" Target="https://dalil.kg/document/301134" TargetMode="External"/><Relationship Id="rId8f_tjkyx7nvdrb-p9eiob" Type="http://schemas.openxmlformats.org/officeDocument/2006/relationships/hyperlink" Target="https://dalil.kg/document/301144" TargetMode="External"/><Relationship Id="rIdsulkii888q1npcjjzsna4" Type="http://schemas.openxmlformats.org/officeDocument/2006/relationships/hyperlink" Target="https://dalil.kg/document/301145" TargetMode="External"/><Relationship Id="rIdaxr66se7wgh9qft8pruas" Type="http://schemas.openxmlformats.org/officeDocument/2006/relationships/hyperlink" Target="https://dalil.kg/document/800023" TargetMode="External"/><Relationship Id="rIdbehvcl2slcu36xz4s5qdn" Type="http://schemas.openxmlformats.org/officeDocument/2006/relationships/hyperlink" Target="https://dalil.kg/document/301167" TargetMode="External"/><Relationship Id="rIdnoonpnwmqkjsevctq0p58" Type="http://schemas.openxmlformats.org/officeDocument/2006/relationships/hyperlink" Target="https://dalil.kg/document/301168" TargetMode="External"/><Relationship Id="rIdtoezvorophg8kopw6ms_r" Type="http://schemas.openxmlformats.org/officeDocument/2006/relationships/hyperlink" Target="https://dalil.kg/document/800755" TargetMode="External"/><Relationship Id="rIdepuvai33oxh8-fy2lm5t1" Type="http://schemas.openxmlformats.org/officeDocument/2006/relationships/hyperlink" Target="https://dalil.kg/document/800756" TargetMode="External"/><Relationship Id="rIdamzbqoyb_rgd5-l_mcrll" Type="http://schemas.openxmlformats.org/officeDocument/2006/relationships/hyperlink" Target="https://dalil.kg/document/303041" TargetMode="External"/><Relationship Id="rIdelgzc21y1loq2swqegvk3" Type="http://schemas.openxmlformats.org/officeDocument/2006/relationships/hyperlink" Target="https://dalil.kg/document/303042" TargetMode="External"/><Relationship Id="rIdpn_zfn_isi70oi4tlgpob" Type="http://schemas.openxmlformats.org/officeDocument/2006/relationships/hyperlink" Target="https://dalil.kg/document/303043" TargetMode="External"/><Relationship Id="rIdtau1ss_--mvsr76dfvirp" Type="http://schemas.openxmlformats.org/officeDocument/2006/relationships/hyperlink" Target="https://dalil.kg/document/303052" TargetMode="External"/><Relationship Id="rIdhxedcnzzzl6bggriwy36m" Type="http://schemas.openxmlformats.org/officeDocument/2006/relationships/hyperlink" Target="https://dalil.kg/document/800023" TargetMode="External"/><Relationship Id="rIdasnhaahb8wdsfco3-rlo-" Type="http://schemas.openxmlformats.org/officeDocument/2006/relationships/hyperlink" Target="https://dalil.kg/document/800023" TargetMode="External"/><Relationship Id="rIdtlkjkdd_0fr8we7ghrk-f" Type="http://schemas.openxmlformats.org/officeDocument/2006/relationships/hyperlink" Target="https://dalil.kg/document/31441" TargetMode="External"/><Relationship Id="rIdxufqdme8rubcqltm8-vi7" Type="http://schemas.openxmlformats.org/officeDocument/2006/relationships/hyperlink" Target="https://dalil.kg/document/31442" TargetMode="External"/><Relationship Id="rIdvvuuqmauvkcn03zlmkkz_" Type="http://schemas.openxmlformats.org/officeDocument/2006/relationships/hyperlink" Target="https://dalil.kg/document/31442" TargetMode="External"/><Relationship Id="rIdyxujcgxykkqvmo24gsxqa" Type="http://schemas.openxmlformats.org/officeDocument/2006/relationships/hyperlink" Target="https://dalil.kg/document/31441" TargetMode="External"/><Relationship Id="rIdtlswhdmqbeqke5fcvm_or" Type="http://schemas.openxmlformats.org/officeDocument/2006/relationships/hyperlink" Target="https://dalil.kg/document/31442" TargetMode="External"/><Relationship Id="rIdnvcwnidy8gkdxtkr6eq7n" Type="http://schemas.openxmlformats.org/officeDocument/2006/relationships/hyperlink" Target="https://dalil.kg/document/31442" TargetMode="External"/><Relationship Id="rIdhrs7kj1axdngizioyhapm" Type="http://schemas.openxmlformats.org/officeDocument/2006/relationships/hyperlink" Target="https://dalil.kg/document/31442" TargetMode="External"/><Relationship Id="rIdsipczqtxfbhu2ocqop551" Type="http://schemas.openxmlformats.org/officeDocument/2006/relationships/hyperlink" Target="https://dalil.kg/document/31140" TargetMode="External"/><Relationship Id="rIdtut90mflwj9qtk8l8s71e" Type="http://schemas.openxmlformats.org/officeDocument/2006/relationships/hyperlink" Target="https://dalil.kg/document/31141" TargetMode="External"/><Relationship Id="rIdc7yyffexbkecelmciww8c" Type="http://schemas.openxmlformats.org/officeDocument/2006/relationships/hyperlink" Target="https://dalil.kg/document/31140" TargetMode="External"/><Relationship Id="rIdad6tymi6a4r1u_-mqdz18" Type="http://schemas.openxmlformats.org/officeDocument/2006/relationships/hyperlink" Target="https://dalil.kg/document/31141" TargetMode="External"/><Relationship Id="rIdfqa3zgiqp881z-f0eszjd" Type="http://schemas.openxmlformats.org/officeDocument/2006/relationships/hyperlink" Target="https://dalil.kg/document/31141" TargetMode="External"/><Relationship Id="rIdh2tnghypfz92fmke1o1rw" Type="http://schemas.openxmlformats.org/officeDocument/2006/relationships/hyperlink" Target="https://dalil.kg/document/301133" TargetMode="External"/><Relationship Id="rIdrfgmo_jzfioh7fetmplfk" Type="http://schemas.openxmlformats.org/officeDocument/2006/relationships/hyperlink" Target="https://dalil.kg/document/301134" TargetMode="External"/><Relationship Id="rIdtspcocpvrl8fpvnog3h84" Type="http://schemas.openxmlformats.org/officeDocument/2006/relationships/hyperlink" Target="https://dalil.kg/document/301134" TargetMode="External"/><Relationship Id="rIdc7er0jmwc3gjpod9lyqdz" Type="http://schemas.openxmlformats.org/officeDocument/2006/relationships/hyperlink" Target="https://dalil.kg/document/301133" TargetMode="External"/><Relationship Id="rId5csddi5ghsqgvbb1pccjv" Type="http://schemas.openxmlformats.org/officeDocument/2006/relationships/hyperlink" Target="https://dalil.kg/document/301134" TargetMode="External"/><Relationship Id="rIdobnc1kqiqyzbetr3xuyi2" Type="http://schemas.openxmlformats.org/officeDocument/2006/relationships/hyperlink" Target="https://dalil.kg/document/205425" TargetMode="External"/><Relationship Id="rIdqarbci2rzh5aivg3nx4w3" Type="http://schemas.openxmlformats.org/officeDocument/2006/relationships/hyperlink" Target="https://dalil.kg/document/301144" TargetMode="External"/><Relationship Id="rIdl87fojztszwgsss8lqtei" Type="http://schemas.openxmlformats.org/officeDocument/2006/relationships/hyperlink" Target="https://dalil.kg/document/301145" TargetMode="External"/><Relationship Id="rIdc3q9z98m0gdyq-7iozrnj" Type="http://schemas.openxmlformats.org/officeDocument/2006/relationships/hyperlink" Target="https://dalil.kg/document/301144" TargetMode="External"/><Relationship Id="rId8brnnepbv8n3fk5djanbf" Type="http://schemas.openxmlformats.org/officeDocument/2006/relationships/hyperlink" Target="https://dalil.kg/document/301145" TargetMode="External"/><Relationship Id="rIdf_n1ngcelo1hiqmkbhqjq" Type="http://schemas.openxmlformats.org/officeDocument/2006/relationships/hyperlink" Target="https://dalil.kg/document/301144" TargetMode="External"/><Relationship Id="rId58d1a4yv4iywozldehay5" Type="http://schemas.openxmlformats.org/officeDocument/2006/relationships/hyperlink" Target="https://dalil.kg/document/301145" TargetMode="External"/><Relationship Id="rIdisvy6jzdt4mmbeovegfib" Type="http://schemas.openxmlformats.org/officeDocument/2006/relationships/hyperlink" Target="https://dalil.kg/document/301145" TargetMode="External"/><Relationship Id="rIdzzitrmrmlhxvn9l_mqfwt" Type="http://schemas.openxmlformats.org/officeDocument/2006/relationships/hyperlink" Target="https://dalil.kg/document/301145" TargetMode="External"/><Relationship Id="rIdmevhmnkmq9ox4rrmag1ss" Type="http://schemas.openxmlformats.org/officeDocument/2006/relationships/hyperlink" Target="https://dalil.kg/document/800023" TargetMode="External"/><Relationship Id="rId6sf-rnfenlovtx-hg2gt4" Type="http://schemas.openxmlformats.org/officeDocument/2006/relationships/hyperlink" Target="https://dalil.kg/document/301167" TargetMode="External"/><Relationship Id="rIdht925c0v3uguogsd3mplw" Type="http://schemas.openxmlformats.org/officeDocument/2006/relationships/hyperlink" Target="https://dalil.kg/document/301168" TargetMode="External"/><Relationship Id="rId927yc5h4oc-9t7nvxnfk9" Type="http://schemas.openxmlformats.org/officeDocument/2006/relationships/hyperlink" Target="https://dalil.kg/document/301168" TargetMode="External"/><Relationship Id="rIdh6obwwqpcuoi1ljucxv3l" Type="http://schemas.openxmlformats.org/officeDocument/2006/relationships/hyperlink" Target="https://dalil.kg/document/301167" TargetMode="External"/><Relationship Id="rIdex8ocwpec5oiv3d9umhe2" Type="http://schemas.openxmlformats.org/officeDocument/2006/relationships/hyperlink" Target="https://dalil.kg/document/301168" TargetMode="External"/><Relationship Id="rIdxvr_wckuw8cxbukh8f3l1" Type="http://schemas.openxmlformats.org/officeDocument/2006/relationships/hyperlink" Target="https://dalil.kg/document/301168" TargetMode="External"/><Relationship Id="rIdvht-h03qopkupab0nfbja" Type="http://schemas.openxmlformats.org/officeDocument/2006/relationships/hyperlink" Target="https://dalil.kg/document/301168" TargetMode="External"/><Relationship Id="rIdspbtf1f3na5pfwhepxltr" Type="http://schemas.openxmlformats.org/officeDocument/2006/relationships/hyperlink" Target="https://dalil.kg/document/301168" TargetMode="External"/><Relationship Id="rIdjqwgtlhxqefi01v53lnyw" Type="http://schemas.openxmlformats.org/officeDocument/2006/relationships/hyperlink" Target="https://dalil.kg/document/800755" TargetMode="External"/><Relationship Id="rIdrqkolizhze0f_xg8k8xl4" Type="http://schemas.openxmlformats.org/officeDocument/2006/relationships/hyperlink" Target="https://dalil.kg/document/800756" TargetMode="External"/><Relationship Id="rId2kag-d2fvji2ajj1jdj5i" Type="http://schemas.openxmlformats.org/officeDocument/2006/relationships/hyperlink" Target="https://dalil.kg/document/800756" TargetMode="External"/><Relationship Id="rIdjjwzms-w29yg741v3xddj" Type="http://schemas.openxmlformats.org/officeDocument/2006/relationships/hyperlink" Target="https://dalil.kg/document/800755" TargetMode="External"/><Relationship Id="rIdzza4ftmr5jbcajqkv5-od" Type="http://schemas.openxmlformats.org/officeDocument/2006/relationships/hyperlink" Target="https://dalil.kg/document/303041" TargetMode="External"/><Relationship Id="rId11vaa-hvdydawvvmi_cjg" Type="http://schemas.openxmlformats.org/officeDocument/2006/relationships/hyperlink" Target="https://dalil.kg/document/303042" TargetMode="External"/><Relationship Id="rIdjehaq84ljfhpn54qdx_9t" Type="http://schemas.openxmlformats.org/officeDocument/2006/relationships/hyperlink" Target="https://dalil.kg/document/303042" TargetMode="External"/><Relationship Id="rIdgcamjgyubrlamwbfteic9" Type="http://schemas.openxmlformats.org/officeDocument/2006/relationships/hyperlink" Target="https://dalil.kg/document/301181" TargetMode="External"/><Relationship Id="rIdvdjprljrjob-w_rwq6isu" Type="http://schemas.openxmlformats.org/officeDocument/2006/relationships/hyperlink" Target="https://dalil.kg/document/301180" TargetMode="External"/><Relationship Id="rIdh0ynbqg7jfnp8t1j7j6g-" Type="http://schemas.openxmlformats.org/officeDocument/2006/relationships/hyperlink" Target="https://dalil.kg/document/303043" TargetMode="External"/><Relationship Id="rIdiztmpogahljwrcl8zusy6" Type="http://schemas.openxmlformats.org/officeDocument/2006/relationships/hyperlink" Target="https://dalil.kg/document/303052" TargetMode="External"/><Relationship Id="rId5vt2xx0imfmjmzjybxh86" Type="http://schemas.openxmlformats.org/officeDocument/2006/relationships/hyperlink" Target="https://dalil.kg/document/303043" TargetMode="External"/><Relationship Id="rId8" Type="http://schemas.openxmlformats.org/officeDocument/2006/relationships/image" Target="media/8de64316e95979c063c17bcd5380dc052a2594e9.png"/><Relationship Id="rId7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9ebsz-5ieipry7a02a4" Type="http://schemas.openxmlformats.org/officeDocument/2006/relationships/hyperlink" Target="https://dalil.kg/document/800025" TargetMode="External"/><Relationship Id="rIdbzyhfzyb5-fclvonkvz2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2026-09-25T11:00:46.635Z</dcterms:created>
  <dcterms:modified xsi:type="dcterms:W3CDTF">2026-09-25T11:00:46.635Z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