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13 декабря 2017 года № 2017-П-09/51-19-(НПА)</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53</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zzxlxyzmejv26jqpracb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fn3ov-o9ieheqozekg-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vkdgii3d17yfzspaz6se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 изменения и дополнения (</w:t>
      </w:r>
      <w:hyperlink w:history="1" r:id="rIdo6pmfzgr3je7iu9c94v0s">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коммерческих банков,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Жениш 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Исполняющий обязанности Председателя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Н.Жениш</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13 декабря 2017 года № 2017-П-09/51-19-(НПА)</w:t>
      </w:r>
    </w:p>
    <w:p>
      <w:pPr>
        <w:spacing w:after="400" w:before="400"/>
        <w:jc w:val="center"/>
      </w:pPr>
      <w:r>
        <w:rPr>
          <w:rFonts w:ascii="Arial" w:cs="Arial" w:eastAsia="Arial" w:hAnsi="Arial"/>
          <w:b/>
          <w:bCs/>
          <w:sz w:val="32"/>
          <w:szCs w:val="32"/>
        </w:rPr>
        <w:t xml:space="preserve">ИЗМЕНЕНИЯ И ДОПОЛНЕНИЯ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w:t>
      </w:r>
    </w:p>
    <w:p>
      <w:pPr>
        <w:spacing w:after="60"/>
        <w:ind w:firstLine="567"/>
        <w:jc w:val="both"/>
      </w:pPr>
      <w:r>
        <w:rPr>
          <w:rFonts w:ascii="Arial" w:cs="Arial" w:eastAsia="Arial" w:hAnsi="Arial"/>
          <w:sz w:val="24"/>
          <w:szCs w:val="24"/>
        </w:rPr>
        <w:t xml:space="preserve">Внести в </w:t>
      </w:r>
      <w:hyperlink w:history="1" r:id="rIdiqjzkxodzqtkryedbxm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7u7ela-9iv52odfdz4if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14n-pmtwd8e15-6_2nd31">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утвержденном вышеуказанным </w:t>
      </w:r>
      <w:hyperlink w:history="1" r:id="rIdochzkhlq2uprm_ajjk3v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2 пункта 41 изложить в следующей редакции:</w:t>
      </w:r>
    </w:p>
    <w:p>
      <w:pPr>
        <w:spacing w:after="60"/>
        <w:ind w:firstLine="567"/>
        <w:jc w:val="both"/>
      </w:pPr>
      <w:r>
        <w:rPr>
          <w:rFonts w:ascii="Arial" w:cs="Arial" w:eastAsia="Arial" w:hAnsi="Arial"/>
          <w:sz w:val="24"/>
          <w:szCs w:val="24"/>
        </w:rPr>
        <w:t xml:space="preserve">"2) Государственные ценные бумаги Правительства Кыргызской Республики, ноты Национального банка и муниципальные ценные бумаги, выпущенные мэрией города Бишкек, имеющие листинг и котируемые на лицензированной торговой площадке Кыргызской Республики (далее - ценные бумаги);";</w:t>
      </w:r>
    </w:p>
    <w:p>
      <w:pPr>
        <w:spacing w:after="60"/>
        <w:ind w:firstLine="567"/>
        <w:jc w:val="both"/>
      </w:pPr>
      <w:r>
        <w:rPr>
          <w:rFonts w:ascii="Arial" w:cs="Arial" w:eastAsia="Arial" w:hAnsi="Arial"/>
          <w:sz w:val="24"/>
          <w:szCs w:val="24"/>
        </w:rPr>
        <w:t xml:space="preserve">- пункт 61 после цифр "6, 7" дополнить цифрой ", 8";</w:t>
      </w:r>
    </w:p>
    <w:p>
      <w:pPr>
        <w:spacing w:after="60"/>
        <w:ind w:firstLine="567"/>
        <w:jc w:val="both"/>
      </w:pPr>
      <w:r>
        <w:rPr>
          <w:rFonts w:ascii="Arial" w:cs="Arial" w:eastAsia="Arial" w:hAnsi="Arial"/>
          <w:sz w:val="24"/>
          <w:szCs w:val="24"/>
        </w:rPr>
        <w:t xml:space="preserve">- пункт 62 изложить в следующей редакции:</w:t>
      </w:r>
    </w:p>
    <w:p>
      <w:pPr>
        <w:spacing w:after="60"/>
        <w:ind w:firstLine="567"/>
        <w:jc w:val="both"/>
      </w:pPr>
      <w:r>
        <w:rPr>
          <w:rFonts w:ascii="Arial" w:cs="Arial" w:eastAsia="Arial" w:hAnsi="Arial"/>
          <w:sz w:val="24"/>
          <w:szCs w:val="24"/>
        </w:rPr>
        <w:t xml:space="preserve">"62. В случае если залоговым обеспечением выступают ценные бумаги, оформление и подписание между Национальным банком и Банком соответствующего Кредитного договора и Договора о залоге осуществляется в течение 3-х рабочих дней после дня проведения кредитного аукциона, а регистрация в уполномоченном органе - в течение 1-го рабочего дня.";</w:t>
      </w:r>
    </w:p>
    <w:p>
      <w:pPr>
        <w:spacing w:after="60"/>
        <w:ind w:firstLine="567"/>
        <w:jc w:val="both"/>
      </w:pPr>
      <w:r>
        <w:rPr>
          <w:rFonts w:ascii="Arial" w:cs="Arial" w:eastAsia="Arial" w:hAnsi="Arial"/>
          <w:sz w:val="24"/>
          <w:szCs w:val="24"/>
        </w:rPr>
        <w:t xml:space="preserve">- в Приложении 4 к </w:t>
      </w:r>
      <w:hyperlink w:history="1" r:id="rIds8dp1nclkjprqdmzj9ol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Положения:</w:t>
      </w:r>
    </w:p>
    <w:p>
      <w:pPr>
        <w:spacing w:after="60"/>
        <w:ind w:firstLine="567"/>
        <w:jc w:val="both"/>
      </w:pPr>
      <w:r>
        <w:rPr>
          <w:rFonts w:ascii="Arial" w:cs="Arial" w:eastAsia="Arial" w:hAnsi="Arial"/>
          <w:sz w:val="24"/>
          <w:szCs w:val="24"/>
        </w:rPr>
        <w:t xml:space="preserve">- пункт 5.3 после цифр "6, 7" дополнить цифрой ", 8";</w:t>
      </w:r>
    </w:p>
    <w:p>
      <w:pPr>
        <w:spacing w:after="60"/>
        <w:ind w:firstLine="567"/>
        <w:jc w:val="both"/>
      </w:pPr>
      <w:r>
        <w:rPr>
          <w:rFonts w:ascii="Arial" w:cs="Arial" w:eastAsia="Arial" w:hAnsi="Arial"/>
          <w:sz w:val="24"/>
          <w:szCs w:val="24"/>
        </w:rPr>
        <w:t xml:space="preserve">- в Приложении 5 к </w:t>
      </w:r>
      <w:hyperlink w:history="1" r:id="rIdcpnzqaqffadi4cdgidaii">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Положения:</w:t>
      </w:r>
    </w:p>
    <w:p>
      <w:pPr>
        <w:spacing w:after="60"/>
        <w:ind w:firstLine="567"/>
        <w:jc w:val="both"/>
      </w:pPr>
      <w:r>
        <w:rPr>
          <w:rFonts w:ascii="Arial" w:cs="Arial" w:eastAsia="Arial" w:hAnsi="Arial"/>
          <w:sz w:val="24"/>
          <w:szCs w:val="24"/>
        </w:rPr>
        <w:t xml:space="preserve">- в преамбуле после слов "заключили настоящий Договор" дополнить словами "о залоге государственных ценных бумаг Правительства Кыргызской Республики/нот Национального банка";</w:t>
      </w:r>
    </w:p>
    <w:p>
      <w:pPr>
        <w:spacing w:after="60"/>
        <w:ind w:firstLine="567"/>
        <w:jc w:val="both"/>
      </w:pPr>
      <w:r>
        <w:rPr>
          <w:rFonts w:ascii="Arial" w:cs="Arial" w:eastAsia="Arial" w:hAnsi="Arial"/>
          <w:sz w:val="24"/>
          <w:szCs w:val="24"/>
        </w:rPr>
        <w:t xml:space="preserve">- абзац первый пункта 1.2 изложить в следующей редакции:</w:t>
      </w:r>
    </w:p>
    <w:p>
      <w:pPr>
        <w:spacing w:after="60"/>
        <w:ind w:firstLine="567"/>
        <w:jc w:val="both"/>
      </w:pPr>
      <w:r>
        <w:rPr>
          <w:rFonts w:ascii="Arial" w:cs="Arial" w:eastAsia="Arial" w:hAnsi="Arial"/>
          <w:sz w:val="24"/>
          <w:szCs w:val="24"/>
        </w:rPr>
        <w:t xml:space="preserve">"В обеспечение выполнения обязательств Залогодателя по Кредитному договору, Залогодатель передает Залогодержателю в залог нижеперечисленные государственные ценные бумаги Правительства Кыргызской Республики/ноты Национального банка (далее - ценные бумаги) __________ на общую номинальную стоимость в размере ______________ (сумма прописью) сомов, следующих выпусков и в следующих объемах:";</w:t>
      </w:r>
    </w:p>
    <w:p>
      <w:pPr>
        <w:spacing w:after="60"/>
        <w:ind w:firstLine="567"/>
        <w:jc w:val="both"/>
      </w:pPr>
      <w:r>
        <w:rPr>
          <w:rFonts w:ascii="Arial" w:cs="Arial" w:eastAsia="Arial" w:hAnsi="Arial"/>
          <w:sz w:val="24"/>
          <w:szCs w:val="24"/>
        </w:rPr>
        <w:t xml:space="preserve">- пункт 2.1.5 после слов "равноценные ценные бумаги" дополнить словами "(государственные казначейские векселя, государственные казначейские облигации и ноты Национального банка)";</w:t>
      </w:r>
    </w:p>
    <w:p>
      <w:pPr>
        <w:spacing w:after="240"/>
        <w:ind w:firstLine="567"/>
        <w:jc w:val="both"/>
      </w:pPr>
      <w:r>
        <w:rPr>
          <w:rFonts w:ascii="Arial" w:cs="Arial" w:eastAsia="Arial" w:hAnsi="Arial"/>
          <w:sz w:val="24"/>
          <w:szCs w:val="24"/>
        </w:rPr>
        <w:t xml:space="preserve">- </w:t>
      </w:r>
      <w:hyperlink w:history="1" r:id="rIdldy_cahz3d8e-2xzspnk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Положения дополнить Приложением 8 следующего содержания:</w:t>
      </w:r>
    </w:p>
    <w:p>
      <w:pPr>
        <w:spacing w:after="120"/>
        <w:jc w:val="center"/>
      </w:pPr>
      <w:r>
        <w:rPr>
          <w:rFonts w:ascii="Arial" w:cs="Arial" w:eastAsia="Arial" w:hAnsi="Arial"/>
          <w:sz w:val="24"/>
          <w:szCs w:val="24"/>
        </w:rPr>
        <w:t xml:space="preserve">"Приложение 8
 к Генеральному соглашению о кредитном аукционе
 от "__" ___________ 20__ г. № ___</w:t>
      </w:r>
    </w:p>
    <w:p>
      <w:pPr>
        <w:spacing w:after="400" w:before="400"/>
        <w:jc w:val="center"/>
      </w:pPr>
      <w:r>
        <w:rPr>
          <w:rFonts w:ascii="Arial" w:cs="Arial" w:eastAsia="Arial" w:hAnsi="Arial"/>
          <w:sz w:val="24"/>
          <w:szCs w:val="24"/>
        </w:rPr>
        <w:t xml:space="preserve">ДОГОВОР О ЗАЛОГЕ № _____
 к Кредитному договору от "__" ____________ 20__ г. № ___</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______________________, действующего на основании приказа Национального банка Кыргызской Республики от ______________ № ___, с одной стороны, и _____________________, именуемое в дальнейшем "Банк" или "Залогодатель", в лице _____________________, действующего на основании Устава, с другой стороны, далее совместно именуемые "Стороны", заключили настоящий Договор о залоге муниципальных ценных бумаг (далее - "Договор") о нижеследующем:</w:t>
      </w:r>
    </w:p>
    <w:p>
      <w:pPr>
        <w:spacing w:after="200" w:before="200"/>
        <w:jc w:val="center"/>
      </w:pPr>
      <w:r>
        <w:rPr>
          <w:rFonts w:ascii="Arial" w:cs="Arial" w:eastAsia="Arial" w:hAnsi="Arial"/>
          <w:sz w:val="24"/>
          <w:szCs w:val="24"/>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 ______________ года № ___ (далее - Кредитный договор), заключенным в рамках Генерального соглашения от ____________ года № ___ (далее - Генеральное соглашение).</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муниципальные ценные бумаги (далее - ценные бумаги) ______________ на общую номинальную стоимость в размере _____________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1985"/>
        <w:gridCol w:w="1173"/>
        <w:gridCol w:w="1427"/>
        <w:gridCol w:w="1511"/>
        <w:gridCol w:w="1775"/>
        <w:gridCol w:w="1798"/>
      </w:tblGrid>
      <w:tr>
        <w:tc>
          <w:tcPr>
            <w:tcW w:type="dxa" w:w="5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w:t>
            </w:r>
          </w:p>
        </w:tc>
        <w:tc>
          <w:tcPr>
            <w:tcW w:type="dxa" w:w="11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выпуска ценных бумаг</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погашения ценных бумаг</w:t>
            </w:r>
          </w:p>
        </w:tc>
        <w:tc>
          <w:tcPr>
            <w:tcW w:type="dxa" w:w="15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ценных бумаг (штук)</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цена 1 ценной бумаги (сом)</w:t>
            </w:r>
          </w:p>
        </w:tc>
        <w:tc>
          <w:tcPr>
            <w:tcW w:type="dxa" w:w="17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стоимость ценных бумаг (сом)</w:t>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Генеральному соглашению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Генеральному соглашению,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Генеральным соглашением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sz w:val="24"/>
          <w:szCs w:val="24"/>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Генеральному соглашению,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Генеральному соглашению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ценные бумаги (муниципальные ценные бумаги, государственные казначейские векселя, государственные казначейские облигации и ноты Национального банка) с более поздней датой погашения. При этом замену ценных бумаг необходимо осуществить за 10 (десять) рабочих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2.3. Последующий залог ценных бумаг, являющихся предметами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Генерального соглашения;</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2.4.4.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sz w:val="24"/>
          <w:szCs w:val="24"/>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при предоставлении в залог ценных бумаг Залогодатель предоставит документ, подтверждающий право на владение ценными бумагами.</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либо на другие равноценные залоги, указанные в Генеральном соглашении,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ценных бумаг, заложенных в соответствии с настоящим Договором и находящихся на залоговом депо-счете Залогодателя в уполномоченном органе хранения и учета ценных бумаг, Стороны уполномочили орган хранения и учета ценных бумаг перечислить сумму номинальной стоимости указанных ценных бумаг с депо-счета Залогодателя на счет Залогодержателя.</w:t>
      </w:r>
    </w:p>
    <w:p>
      <w:pPr>
        <w:spacing w:after="60"/>
        <w:ind w:firstLine="567"/>
        <w:jc w:val="both"/>
      </w:pPr>
      <w:r>
        <w:rPr>
          <w:rFonts w:ascii="Arial" w:cs="Arial" w:eastAsia="Arial" w:hAnsi="Arial"/>
          <w:sz w:val="24"/>
          <w:szCs w:val="24"/>
        </w:rPr>
        <w:t xml:space="preserve">3.4. Стороны согласились, что сборы за регистрацию настоящего Договора, хранение и учет ценных бумаг в уполномоченном органе оплачивает Залогодатель.</w:t>
      </w:r>
    </w:p>
    <w:p>
      <w:pPr>
        <w:spacing w:after="200" w:before="200"/>
        <w:jc w:val="center"/>
      </w:pPr>
      <w:r>
        <w:rPr>
          <w:rFonts w:ascii="Arial" w:cs="Arial" w:eastAsia="Arial" w:hAnsi="Arial"/>
          <w:sz w:val="24"/>
          <w:szCs w:val="24"/>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Генеральным соглашением.</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0,05 процента от номинальной стоимости ценных бумаг, подлежащих замене, за каждый день просрочки (неисполнение своих обязательств).</w:t>
      </w:r>
    </w:p>
    <w:p>
      <w:pPr>
        <w:spacing w:after="200" w:before="200"/>
        <w:jc w:val="center"/>
      </w:pPr>
      <w:r>
        <w:rPr>
          <w:rFonts w:ascii="Arial" w:cs="Arial" w:eastAsia="Arial" w:hAnsi="Arial"/>
          <w:sz w:val="24"/>
          <w:szCs w:val="24"/>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Генерального соглашения и действующим законодательством Кыргызской Республики.</w:t>
      </w:r>
    </w:p>
    <w:p>
      <w:pPr>
        <w:spacing w:after="200" w:before="200"/>
        <w:jc w:val="center"/>
      </w:pPr>
      <w:r>
        <w:rPr>
          <w:rFonts w:ascii="Arial" w:cs="Arial" w:eastAsia="Arial" w:hAnsi="Arial"/>
          <w:sz w:val="24"/>
          <w:szCs w:val="24"/>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Генеральному соглашению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уполномоченном органе хранения и учета ценных бумаг.</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составляется дополнительно 1 (один) экземпляр. Все экземпляры имеют одинаковую юридическую силу.</w:t>
      </w:r>
    </w:p>
    <w:p>
      <w:pPr>
        <w:spacing w:after="200" w:before="200"/>
        <w:jc w:val="center"/>
      </w:pPr>
      <w:r>
        <w:rPr>
          <w:rFonts w:ascii="Arial" w:cs="Arial" w:eastAsia="Arial" w:hAnsi="Arial"/>
          <w:sz w:val="24"/>
          <w:szCs w:val="24"/>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sz w:val="24"/>
          <w:szCs w:val="24"/>
        </w:rPr>
        <w:t xml:space="preserve">Национальный банк
 Кыргызской Республики
 г.Бишкек, пр.Чуй 168</w:t>
      </w:r>
      <w:r>
        <w:rPr>
          <w:rFonts w:ascii="Arial" w:cs="Arial" w:eastAsia="Arial" w:hAnsi="Arial"/>
          <w:sz w:val="24"/>
          <w:szCs w:val="24"/>
        </w:rPr>
        <w:t xml:space="preserve">	</w:t>
      </w:r>
      <w:r>
        <w:rPr>
          <w:rFonts w:ascii="Arial" w:cs="Arial" w:eastAsia="Arial" w:hAnsi="Arial"/>
          <w:sz w:val="24"/>
          <w:szCs w:val="24"/>
        </w:rPr>
        <w:t xml:space="preserve">Банк: ОАО/ЗАО "Коммерческий банк"
 г.Бишкек, ул.___________________
 Корсчет в Национальном банке
 № 1010126______________
 БИК Национального банка
 № ______ ИНН № ______________
 ОКПО № _______________
 Код ГНИ: _______________</w:t>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zrd0nwltchosv68-h74c">
      <w:r>
        <w:rPr>
          <w:rFonts w:ascii="Arial" w:cs="Arial" w:eastAsia="Arial" w:hAnsi="Arial"/>
          <w:color w:val="132D3F"/>
          <w:sz w:val="16"/>
          <w:szCs w:val="16"/>
          <w:u w:val="single"/>
        </w:rPr>
        <w:t xml:space="preserve">dalil.kg/document/800026</w:t>
      </w:r>
    </w:hyperlink>
  </w:p>
  <w:p>
    <w:pPr>
      <w:spacing w:after="0" w:before="40"/>
      <w:jc w:val="center"/>
    </w:pPr>
    <w:hyperlink w:history="1" r:id="rIdlnvitkgnfrfdyr2rhvr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xlxyzmejv26jqpracby" Type="http://schemas.openxmlformats.org/officeDocument/2006/relationships/hyperlink" Target="https://dalil.kg/document/111486" TargetMode="External"/><Relationship Id="rIdfn3ov-o9ieheqozekg-mp" Type="http://schemas.openxmlformats.org/officeDocument/2006/relationships/hyperlink" Target="https://dalil.kg/document/302909" TargetMode="External"/><Relationship Id="rIdvkdgii3d17yfzspaz6se9" Type="http://schemas.openxmlformats.org/officeDocument/2006/relationships/hyperlink" Target="https://dalil.kg/document/302910" TargetMode="External"/><Relationship Id="rIdo6pmfzgr3je7iu9c94v0s" Type="http://schemas.openxmlformats.org/officeDocument/2006/relationships/hyperlink" Target="https://dalil.kg/document/800026#p1" TargetMode="External"/><Relationship Id="rIdiqjzkxodzqtkryedbxmw1" Type="http://schemas.openxmlformats.org/officeDocument/2006/relationships/hyperlink" Target="https://dalil.kg/document/302909" TargetMode="External"/><Relationship Id="rId7u7ela-9iv52odfdz4if2" Type="http://schemas.openxmlformats.org/officeDocument/2006/relationships/hyperlink" Target="https://dalil.kg/document/302910" TargetMode="External"/><Relationship Id="rId14n-pmtwd8e15-6_2nd31" Type="http://schemas.openxmlformats.org/officeDocument/2006/relationships/hyperlink" Target="https://dalil.kg/document/302910" TargetMode="External"/><Relationship Id="rIdochzkhlq2uprm_ajjk3vv" Type="http://schemas.openxmlformats.org/officeDocument/2006/relationships/hyperlink" Target="https://dalil.kg/document/302909" TargetMode="External"/><Relationship Id="rIds8dp1nclkjprqdmzj9olf" Type="http://schemas.openxmlformats.org/officeDocument/2006/relationships/hyperlink" Target="https://dalil.kg/document/302910#p1" TargetMode="External"/><Relationship Id="rIdcpnzqaqffadi4cdgidaii" Type="http://schemas.openxmlformats.org/officeDocument/2006/relationships/hyperlink" Target="https://dalil.kg/document/302910#p1" TargetMode="External"/><Relationship Id="rIdldy_cahz3d8e-2xzspnkp" Type="http://schemas.openxmlformats.org/officeDocument/2006/relationships/hyperlink" Target="https://dalil.kg/document/302910#p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zrd0nwltchosv68-h74c" Type="http://schemas.openxmlformats.org/officeDocument/2006/relationships/hyperlink" Target="https://dalil.kg/document/800026" TargetMode="External"/><Relationship Id="rIdlnvitkgnfrfdyr2rhvr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2026-09-25T09:11:14.545Z</dcterms:created>
  <dcterms:modified xsi:type="dcterms:W3CDTF">2026-09-25T09:11:14.545Z</dcterms:modified>
</cp:coreProperties>
</file>

<file path=docProps/custom.xml><?xml version="1.0" encoding="utf-8"?>
<Properties xmlns="http://schemas.openxmlformats.org/officeDocument/2006/custom-properties" xmlns:vt="http://schemas.openxmlformats.org/officeDocument/2006/docPropsVTypes"/>
</file>