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ugdandwhvtysb1kga6q6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30 марта 2016 года № 15/6</w:t>
      </w:r>
    </w:p>
    <w:p>
      <w:pPr>
        <w:spacing w:after="400" w:before="4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rvkrbeemd19pplp7vyhca">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 </w:t>
      </w:r>
      <w:hyperlink w:history="1" r:id="rIdy4zvhfhreojyewtr5liu4">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 </w:t>
      </w:r>
      <w:hyperlink w:history="1" r:id="rIdlbifjcrs4dg5khcvcqh-o">
        <w:r>
          <w:rPr>
            <w:rFonts w:ascii="Arial" w:cs="Arial" w:eastAsia="Arial" w:hAnsi="Arial"/>
            <w:i/>
            <w:iCs/>
            <w:color w:val="1D4ED8"/>
            <w:sz w:val="24"/>
            <w:szCs w:val="24"/>
            <w:u w:val="single"/>
          </w:rPr>
          <w:t xml:space="preserve">27 февраля 2019 года № 2019-П-14/9-4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yptbsd9glcj3yf6ooikg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Правления Нацбанка КР от 17 мая 2017 года № 19/1)</w:t>
      </w:r>
    </w:p>
    <w:p>
      <w:pPr>
        <w:spacing w:after="60"/>
        <w:ind w:firstLine="567"/>
        <w:jc w:val="both"/>
      </w:pPr>
      <w:r>
        <w:rPr>
          <w:rFonts w:ascii="Arial" w:cs="Arial" w:eastAsia="Arial" w:hAnsi="Arial"/>
          <w:sz w:val="24"/>
          <w:szCs w:val="24"/>
        </w:rPr>
        <w:t xml:space="preserve">2. Настоящее Положение устанавливает порядок и требования к коммерческим банкам (далее - банк), операторам, агентам, субагентам и операторам международной системы электронных денег/эмитентам международных электронных денег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hcsqpp6baa5gmoiygscw">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Операции с электронными деньгами включают в себя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v3ff6kdrx-_kbsbjb5xw">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Выпуск электронных денег на территории Кыргызской Республики является лицензируемой деятельностью. Лицензия выдается банку только на выполнение следующих видов операций:</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b1nkav0aiovdkcmvssl3">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Банки, операторы, агенты, субагенты, а также операторы международных систем электронных денег/эмитенты международных электронных денег должны соблюдать и выполнять требования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bvwo5b8zbbvltygmjvf7">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Для целей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b/>
          <w:bCs/>
          <w:sz w:val="24"/>
          <w:szCs w:val="24"/>
        </w:rPr>
        <w:t xml:space="preserve">Агент (дистрибьютор) электронных денег</w:t>
      </w:r>
      <w:r>
        <w:rPr>
          <w:rFonts w:ascii="Arial" w:cs="Arial" w:eastAsia="Arial" w:hAnsi="Arial"/>
          <w:sz w:val="24"/>
          <w:szCs w:val="24"/>
        </w:rPr>
        <w:t xml:space="preserve"> - юридическое лицо или индивидуальный предприниматель, резидент,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условиями настоящего Положения, на основании заключенного агентского договора с банком, выпустившим электронные деньги.</w:t>
      </w:r>
    </w:p>
    <w:p>
      <w:pPr>
        <w:spacing w:after="60"/>
        <w:ind w:firstLine="567"/>
        <w:jc w:val="both"/>
      </w:pPr>
      <w:r>
        <w:rPr>
          <w:rFonts w:ascii="Arial" w:cs="Arial" w:eastAsia="Arial" w:hAnsi="Arial"/>
          <w:b/>
          <w:bCs/>
          <w:sz w:val="24"/>
          <w:szCs w:val="24"/>
        </w:rPr>
        <w:t xml:space="preserve">Агент международных систем электронных денег</w:t>
      </w:r>
      <w:r>
        <w:rPr>
          <w:rFonts w:ascii="Arial" w:cs="Arial" w:eastAsia="Arial" w:hAnsi="Arial"/>
          <w:sz w:val="24"/>
          <w:szCs w:val="24"/>
        </w:rPr>
        <w:t xml:space="preserve"> - банк-резидент, осуществляющий деятельность в соответствии законодательством Кыргызской Республики и имеющий договорные отношения с эмитентом международных систем электронных денег.</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60"/>
        <w:ind w:firstLine="567"/>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 Расчеты с использованием электронных денег являются безналичными, если движение денежных средств происходит в национальной валюте, без участия наличных денег, путем списания денежных средств со счета держателя электронных денег и зачисления их на счет акцептанта.</w:t>
      </w:r>
    </w:p>
    <w:p>
      <w:pPr>
        <w:spacing w:after="60"/>
        <w:ind w:firstLine="567"/>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электронного кошелька, который присваивается при его первоначальной регистрации в системе. По идентификационному номеру электронного кошелька держатель имеет возможность получить информацию о движении денежных средств и остатке на электронном кошельке, а также производить блокировку кошелька в случае необходимости.</w:t>
      </w:r>
    </w:p>
    <w:p>
      <w:pPr>
        <w:spacing w:after="60"/>
        <w:ind w:firstLine="567"/>
        <w:jc w:val="both"/>
      </w:pPr>
      <w:r>
        <w:rPr>
          <w:rFonts w:ascii="Arial" w:cs="Arial" w:eastAsia="Arial" w:hAnsi="Arial"/>
          <w:b/>
          <w:bCs/>
          <w:sz w:val="24"/>
          <w:szCs w:val="24"/>
        </w:rPr>
        <w:t xml:space="preserve">Идентифицированный электронный кошелек</w:t>
      </w:r>
      <w:r>
        <w:rPr>
          <w:rFonts w:ascii="Arial" w:cs="Arial" w:eastAsia="Arial" w:hAnsi="Arial"/>
          <w:sz w:val="24"/>
          <w:szCs w:val="24"/>
        </w:rPr>
        <w:t xml:space="preserve"> - электронный кошелек, держатель которого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 в иностранной и национальной валютах.</w:t>
      </w:r>
    </w:p>
    <w:p>
      <w:pPr>
        <w:spacing w:after="60"/>
        <w:ind w:firstLine="567"/>
        <w:jc w:val="both"/>
      </w:pPr>
      <w:r>
        <w:rPr>
          <w:rFonts w:ascii="Arial" w:cs="Arial" w:eastAsia="Arial" w:hAnsi="Arial"/>
          <w:b/>
          <w:bCs/>
          <w:sz w:val="24"/>
          <w:szCs w:val="24"/>
        </w:rPr>
        <w:t xml:space="preserve">Оператор системы расчетов электронными деньгами</w:t>
      </w:r>
      <w:r>
        <w:rPr>
          <w:rFonts w:ascii="Arial" w:cs="Arial" w:eastAsia="Arial" w:hAnsi="Arial"/>
          <w:sz w:val="24"/>
          <w:szCs w:val="24"/>
        </w:rPr>
        <w:t xml:space="preserve"> </w:t>
      </w:r>
      <w:r>
        <w:rPr>
          <w:rFonts w:ascii="Arial" w:cs="Arial" w:eastAsia="Arial" w:hAnsi="Arial"/>
          <w:b/>
          <w:bCs/>
          <w:sz w:val="24"/>
          <w:szCs w:val="24"/>
        </w:rPr>
        <w:t xml:space="preserve">(далее - оператор)</w:t>
      </w:r>
      <w:r>
        <w:rPr>
          <w:rFonts w:ascii="Arial" w:cs="Arial" w:eastAsia="Arial" w:hAnsi="Arial"/>
          <w:sz w:val="24"/>
          <w:szCs w:val="24"/>
        </w:rPr>
        <w:t xml:space="preserve"> - оператор платежной системы, резидент, действующий в соответствии с законодательством Кыргызской Республики,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проводит процессинг на основании договора с банком.</w:t>
      </w:r>
    </w:p>
    <w:p>
      <w:pPr>
        <w:spacing w:after="60"/>
        <w:ind w:firstLine="567"/>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денег/международных электронных денег, предъявляемых держателем банку, оператору, агенту, субагенту/субагенту международных систем электронных денег, на наличные или безналичные денежные средства, не превышающие остаток хранимой на них суммы электронных денег/международных электронных денег. Погашение может производиться с применением периферийных устройств банка.</w:t>
      </w:r>
    </w:p>
    <w:p>
      <w:pPr>
        <w:spacing w:after="60"/>
        <w:ind w:firstLine="567"/>
        <w:jc w:val="both"/>
      </w:pPr>
      <w:r>
        <w:rPr>
          <w:rFonts w:ascii="Arial" w:cs="Arial" w:eastAsia="Arial" w:hAnsi="Arial"/>
          <w:b/>
          <w:bCs/>
          <w:sz w:val="24"/>
          <w:szCs w:val="24"/>
        </w:rPr>
        <w:t xml:space="preserve">Процессинг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расчетов с использованием электронных денег.</w:t>
      </w:r>
    </w:p>
    <w:p>
      <w:pPr>
        <w:spacing w:after="60"/>
        <w:ind w:firstLine="567"/>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банк, осуществляющий взаиморасчеты между участниками системы расчетов с использованием электронных денег.</w:t>
      </w:r>
    </w:p>
    <w:p>
      <w:pPr>
        <w:spacing w:after="60"/>
        <w:ind w:firstLine="567"/>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 агента, субагента, агента (субагента) международных систем электронных денег по предоставлению электронных денег/международных электронных денег держателям для дальнейшего их использования.</w:t>
      </w:r>
    </w:p>
    <w:p>
      <w:pPr>
        <w:spacing w:after="60"/>
        <w:ind w:firstLine="567"/>
        <w:jc w:val="both"/>
      </w:pPr>
      <w:r>
        <w:rPr>
          <w:rFonts w:ascii="Arial" w:cs="Arial" w:eastAsia="Arial" w:hAnsi="Arial"/>
          <w:b/>
          <w:bCs/>
          <w:sz w:val="24"/>
          <w:szCs w:val="24"/>
        </w:rPr>
        <w:t xml:space="preserve">Банковский счет по учету электронных денег</w:t>
      </w:r>
      <w:r>
        <w:rPr>
          <w:rFonts w:ascii="Arial" w:cs="Arial" w:eastAsia="Arial" w:hAnsi="Arial"/>
          <w:sz w:val="24"/>
          <w:szCs w:val="24"/>
        </w:rPr>
        <w:t xml:space="preserve"> - счет, открытый банком, который используется только для проведения операций по зачислению суммы денежных средств по выпущенным электронным деньгам, и по списанию денежных средств для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на погашение электронных денег, включая перевод средств с одного электронного кошелька на другой, находящиеся в разных системах электронных денег.</w:t>
      </w:r>
    </w:p>
    <w:p>
      <w:pPr>
        <w:spacing w:after="60"/>
        <w:ind w:firstLine="567"/>
        <w:jc w:val="both"/>
      </w:pPr>
      <w:r>
        <w:rPr>
          <w:rFonts w:ascii="Arial" w:cs="Arial" w:eastAsia="Arial" w:hAnsi="Arial"/>
          <w:b/>
          <w:bCs/>
          <w:sz w:val="24"/>
          <w:szCs w:val="24"/>
        </w:rPr>
        <w:t xml:space="preserve">Регистрация в системе электронных денег</w:t>
      </w:r>
      <w:r>
        <w:rPr>
          <w:rFonts w:ascii="Arial" w:cs="Arial" w:eastAsia="Arial" w:hAnsi="Arial"/>
          <w:sz w:val="24"/>
          <w:szCs w:val="24"/>
        </w:rPr>
        <w:t xml:space="preserve"> - проведение клиентом регистрации в системе с обязательной аутентификацией, путем введения своих данных в соответствии с процедурами банка, оператора, международной системы электронных денег.</w:t>
      </w:r>
    </w:p>
    <w:p>
      <w:pPr>
        <w:spacing w:after="60"/>
        <w:ind w:firstLine="567"/>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w:t>
      </w:r>
    </w:p>
    <w:p>
      <w:pPr>
        <w:spacing w:after="60"/>
        <w:ind w:firstLine="567"/>
        <w:jc w:val="both"/>
      </w:pPr>
      <w:r>
        <w:rPr>
          <w:rFonts w:ascii="Arial" w:cs="Arial" w:eastAsia="Arial" w:hAnsi="Arial"/>
          <w:b/>
          <w:bCs/>
          <w:sz w:val="24"/>
          <w:szCs w:val="24"/>
        </w:rPr>
        <w:t xml:space="preserve">Субагент/субагент международных электронных денег</w:t>
      </w:r>
      <w:r>
        <w:rPr>
          <w:rFonts w:ascii="Arial" w:cs="Arial" w:eastAsia="Arial" w:hAnsi="Arial"/>
          <w:sz w:val="24"/>
          <w:szCs w:val="24"/>
        </w:rPr>
        <w:t xml:space="preserve"> - юридическое лицо или индивидуальный предприниматель, заключивший субагентский договор с агентом/агентом международных электронных денег на осуществление операций по распространению и погашению электронных денег/международных электронных денег.</w:t>
      </w:r>
    </w:p>
    <w:p>
      <w:pPr>
        <w:spacing w:after="60"/>
        <w:ind w:firstLine="567"/>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планшетный компьютер, мобильный телефон или иное устройство), обеспечивающий держателю доступ к своему электронному кошельку для осуществления платежей с использованием электронных денег.</w:t>
      </w:r>
    </w:p>
    <w:p>
      <w:pPr>
        <w:spacing w:after="60"/>
        <w:ind w:firstLine="567"/>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 агент, оператор, акцептант, держатель электронных денег, расчетный банк, субагент/субагент международных электронных денег.</w:t>
      </w:r>
    </w:p>
    <w:p>
      <w:pPr>
        <w:spacing w:after="60"/>
        <w:ind w:firstLine="567"/>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с предоставлением возможности их последующего погашения.</w:t>
      </w:r>
    </w:p>
    <w:p>
      <w:pPr>
        <w:spacing w:after="60"/>
        <w:ind w:firstLine="567"/>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60"/>
        <w:ind w:firstLine="567"/>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60"/>
        <w:ind w:firstLine="567"/>
        <w:jc w:val="both"/>
      </w:pP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осуществляющий/ее деятельность в соответствии с законодательством страны происхождения, который/ое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b/>
          <w:bCs/>
          <w:sz w:val="24"/>
          <w:szCs w:val="24"/>
        </w:rPr>
        <w:t xml:space="preserve">Эмитент электронных денег (эмитент)</w:t>
      </w:r>
      <w:r>
        <w:rPr>
          <w:rFonts w:ascii="Arial" w:cs="Arial" w:eastAsia="Arial" w:hAnsi="Arial"/>
          <w:sz w:val="24"/>
          <w:szCs w:val="24"/>
        </w:rPr>
        <w:t xml:space="preserve"> - Национальный банк Кыргызской Республики (далее - Национальный банк), а также банк, имеющий лицензию на право выпуска электронных денег,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60"/>
        <w:ind w:firstLine="567"/>
        <w:jc w:val="both"/>
      </w:pPr>
      <w:r>
        <w:rPr>
          <w:rFonts w:ascii="Arial" w:cs="Arial" w:eastAsia="Arial" w:hAnsi="Arial"/>
          <w:b/>
          <w:bCs/>
          <w:sz w:val="24"/>
          <w:szCs w:val="24"/>
        </w:rPr>
        <w:t xml:space="preserve">Неидентифицированный электронный кошелек</w:t>
      </w:r>
      <w:r>
        <w:rPr>
          <w:rFonts w:ascii="Arial" w:cs="Arial" w:eastAsia="Arial" w:hAnsi="Arial"/>
          <w:sz w:val="24"/>
          <w:szCs w:val="24"/>
        </w:rPr>
        <w:t xml:space="preserve"> - электронный кошелек, открываемый физическим лицом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действующий на территории Кыргызской Республики в рамках ограничений, установленных в пункте 31 настоящего Положения.</w:t>
      </w:r>
    </w:p>
    <w:p>
      <w:pPr>
        <w:spacing w:after="60"/>
        <w:ind w:firstLine="567"/>
        <w:jc w:val="both"/>
      </w:pPr>
      <w:r>
        <w:rPr>
          <w:rFonts w:ascii="Arial" w:cs="Arial" w:eastAsia="Arial" w:hAnsi="Arial"/>
          <w:b/>
          <w:bCs/>
          <w:sz w:val="24"/>
          <w:szCs w:val="24"/>
        </w:rPr>
        <w:t xml:space="preserve">Оператор международной системы электронных денег</w:t>
      </w:r>
      <w:r>
        <w:rPr>
          <w:rFonts w:ascii="Arial" w:cs="Arial" w:eastAsia="Arial" w:hAnsi="Arial"/>
          <w:sz w:val="24"/>
          <w:szCs w:val="24"/>
        </w:rPr>
        <w:t xml:space="preserve"> - юридическое лицо, осуществляющее деятельность в рамках законодательства страны происхождения,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счет в виде комбинации цифр и/или знаков, открываемый у поставщиков товаров и услуг, служащий для учета объема предоставляемых товаров и оказываемых услуг абонентам (пользователям).</w:t>
      </w:r>
    </w:p>
    <w:p>
      <w:pPr>
        <w:spacing w:after="60"/>
        <w:ind w:firstLine="567"/>
        <w:jc w:val="both"/>
      </w:pPr>
      <w:r>
        <w:rPr>
          <w:rFonts w:ascii="Arial" w:cs="Arial" w:eastAsia="Arial" w:hAnsi="Arial"/>
          <w:b/>
          <w:bCs/>
          <w:sz w:val="24"/>
          <w:szCs w:val="24"/>
        </w:rPr>
        <w:t xml:space="preserve">Абонент (пользователь)</w:t>
      </w:r>
      <w:r>
        <w:rPr>
          <w:rFonts w:ascii="Arial" w:cs="Arial" w:eastAsia="Arial" w:hAnsi="Arial"/>
          <w:sz w:val="24"/>
          <w:szCs w:val="24"/>
        </w:rPr>
        <w:t xml:space="preserve"> - физическое или юридическое лицо, получающее товары и услуги от поставщика товаров и услуг.</w:t>
      </w:r>
    </w:p>
    <w:p>
      <w:pPr>
        <w:spacing w:after="120"/>
        <w:jc w:val="both"/>
      </w:pPr>
      <w:r>
        <w:rPr>
          <w:rFonts w:ascii="Arial" w:cs="Arial" w:eastAsia="Arial" w:hAnsi="Arial"/>
          <w:b/>
          <w:bCs/>
          <w:sz w:val="24"/>
          <w:szCs w:val="24"/>
        </w:rPr>
        <w:t xml:space="preserve">Локальная система расчетов электронными деньгами</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 выпущенных на территории Кыргызской Республики.</w:t>
      </w:r>
    </w:p>
    <w:p>
      <w:pPr>
        <w:spacing w:after="120"/>
        <w:jc w:val="both"/>
      </w:pPr>
      <w:r>
        <w:rPr>
          <w:rFonts w:ascii="Arial" w:cs="Arial" w:eastAsia="Arial" w:hAnsi="Arial"/>
          <w:b/>
          <w:bCs/>
          <w:sz w:val="24"/>
          <w:szCs w:val="24"/>
        </w:rPr>
        <w:t xml:space="preserve">Оператор национальной платежной системы расчетов электронными деньгами</w:t>
      </w:r>
      <w:r>
        <w:rPr>
          <w:rFonts w:ascii="Arial" w:cs="Arial" w:eastAsia="Arial" w:hAnsi="Arial"/>
          <w:sz w:val="24"/>
          <w:szCs w:val="24"/>
        </w:rPr>
        <w:t xml:space="preserve"> - юридическое лицо-резидент Кыргызской Республики, имеющее лицензию оператора платежной системы, на базе которого создается "единое окно",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ugd8qy2izo1ovhh9bf0r">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 </w:t>
      </w:r>
      <w:hyperlink w:history="1" r:id="rId8uggsva5clbetafxfj4vt">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 </w:t>
      </w:r>
      <w:hyperlink w:history="1" r:id="rIdx6boidwprkhvu6obmavmf">
        <w:r>
          <w:rPr>
            <w:rFonts w:ascii="Arial" w:cs="Arial" w:eastAsia="Arial" w:hAnsi="Arial"/>
            <w:i/>
            <w:iCs/>
            <w:color w:val="1D4ED8"/>
            <w:sz w:val="24"/>
            <w:szCs w:val="24"/>
            <w:u w:val="single"/>
          </w:rPr>
          <w:t xml:space="preserve">27 февраля 2019 года № 2019-П-14/9-4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в соответствии с </w:t>
      </w:r>
      <w:hyperlink w:history="1" r:id="rIdaxvtpfhgas-ytexqv2c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и </w:t>
      </w:r>
      <w:r>
        <w:rPr>
          <w:rFonts w:ascii="Arial" w:cs="Arial" w:eastAsia="Arial" w:hAnsi="Arial"/>
          <w:sz w:val="24"/>
          <w:szCs w:val="24"/>
        </w:rPr>
        <w:t xml:space="preserve">параграфа 5</w:t>
      </w:r>
      <w:r>
        <w:rPr>
          <w:rFonts w:ascii="Arial" w:cs="Arial" w:eastAsia="Arial" w:hAnsi="Arial"/>
          <w:sz w:val="24"/>
          <w:szCs w:val="24"/>
        </w:rPr>
        <w:t xml:space="preserve"> Главы 3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g8_ckavg0uefhx7ubwr8">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 Системы расчетов электронными деньгами должны иметь возможность осуществления совместного сервиса, связанного с проведением операций посредством электронных денег, способность к взаимному обмену информацией при проведении платежей и расчетов и использованию данной информации на территории Кыргызской Республики.</w:t>
      </w:r>
    </w:p>
    <w:p>
      <w:pPr>
        <w:spacing w:after="120"/>
        <w:jc w:val="both"/>
      </w:pPr>
      <w:r>
        <w:rPr>
          <w:rFonts w:ascii="Arial" w:cs="Arial" w:eastAsia="Arial" w:hAnsi="Arial"/>
          <w:sz w:val="24"/>
          <w:szCs w:val="24"/>
        </w:rPr>
        <w:t xml:space="preserve">Программные и технические средства, применяемые в локальных системах расчетов электронными деньгами на территории Кыргызской Республики, должны иметь функциональную совместимость с аппаратно-программным комплексом оператора национальной платежной системы расчетов электронными деньгами при проведении платежей и расчетов.</w:t>
      </w:r>
    </w:p>
    <w:p>
      <w:pPr>
        <w:spacing w:after="120"/>
        <w:jc w:val="both"/>
      </w:pPr>
      <w:r>
        <w:rPr>
          <w:rFonts w:ascii="Arial" w:cs="Arial" w:eastAsia="Arial" w:hAnsi="Arial"/>
          <w:sz w:val="24"/>
          <w:szCs w:val="24"/>
        </w:rPr>
        <w:t xml:space="preserve">Внимание! В соответствии с п.3 </w:t>
      </w:r>
      <w:hyperlink w:history="1" r:id="rIdz6lhtpm-vzbsquvyex_m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февраля 2019 года № 2019-П-14/9-4 настоящий пункт вступает в силу с 1 января 2021 года.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p2np4jkvaisreogpiev7">
        <w:r>
          <w:rPr>
            <w:rFonts w:ascii="Arial" w:cs="Arial" w:eastAsia="Arial" w:hAnsi="Arial"/>
            <w:color w:val="1D4ED8"/>
            <w:sz w:val="24"/>
            <w:szCs w:val="24"/>
            <w:u w:val="single"/>
          </w:rPr>
          <w:t xml:space="preserve">27 февраля 2019 года № 2019-П-14/9-4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 использованием электронных денег можно проводить операции по приобретению товаров и услуг у акцептантов, погашать электронные деньги и переводить электронные деньги с идентифицированного электронного кошелька, предоплаченной карты и/или виртуальной предоплаченной карты держателя. При международных/трансграничных переводах электронных денег держатели электронных кошельков, предоплаченных карт и/или виртуальных предоплаченных карт должны быть идентифицированными.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caygohzqs_do5x7u3xho">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Платежи с лицевого счета абонента (пользователя) поставщика товаров и услуг, осуществляются только за услуги самого поставщика товаров и услуг в рамках его основной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shrorxat2rgo5vxp0ga4">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Пополнение электронного кошелька, предоплаченной карты и/или виртуальной предоплаченной карты держателя может осуществляться посредством использования только следующих способов:</w:t>
      </w:r>
    </w:p>
    <w:p>
      <w:pPr>
        <w:spacing w:after="60"/>
        <w:ind w:firstLine="567"/>
        <w:jc w:val="both"/>
      </w:pPr>
      <w:r>
        <w:rPr>
          <w:rFonts w:ascii="Arial" w:cs="Arial" w:eastAsia="Arial" w:hAnsi="Arial"/>
          <w:sz w:val="24"/>
          <w:szCs w:val="24"/>
        </w:rPr>
        <w:t xml:space="preserve">- перечисления с банковского счета;</w:t>
      </w:r>
    </w:p>
    <w:p>
      <w:pPr>
        <w:spacing w:after="60"/>
        <w:ind w:firstLine="567"/>
        <w:jc w:val="both"/>
      </w:pPr>
      <w:r>
        <w:rPr>
          <w:rFonts w:ascii="Arial" w:cs="Arial" w:eastAsia="Arial" w:hAnsi="Arial"/>
          <w:sz w:val="24"/>
          <w:szCs w:val="24"/>
        </w:rPr>
        <w:t xml:space="preserve">- перевода с идентифицированного электронного кошелька, предоплаченной карты и/или виртуальной предоплаченной карты;</w:t>
      </w:r>
    </w:p>
    <w:p>
      <w:pPr>
        <w:spacing w:after="60"/>
        <w:ind w:firstLine="567"/>
        <w:jc w:val="both"/>
      </w:pPr>
      <w:r>
        <w:rPr>
          <w:rFonts w:ascii="Arial" w:cs="Arial" w:eastAsia="Arial" w:hAnsi="Arial"/>
          <w:sz w:val="24"/>
          <w:szCs w:val="24"/>
        </w:rPr>
        <w:t xml:space="preserve">- денежного перевода без открытия банковского счета через системы денежных переводов, прошедших регистрацию в Национальном банке;</w:t>
      </w:r>
    </w:p>
    <w:p>
      <w:pPr>
        <w:spacing w:after="60"/>
        <w:ind w:firstLine="567"/>
        <w:jc w:val="both"/>
      </w:pPr>
      <w:r>
        <w:rPr>
          <w:rFonts w:ascii="Arial" w:cs="Arial" w:eastAsia="Arial" w:hAnsi="Arial"/>
          <w:sz w:val="24"/>
          <w:szCs w:val="24"/>
        </w:rPr>
        <w:t xml:space="preserve">- внесения наличных денежных средств в автоматизированные терминалы самообслуживания (cash-in), в кассы банка-эмитента, а также агентам коммерческих банков и/или агентам платежных организаций.</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является исчерпывающим, не предусматривающим использование иных способов пополнения.</w:t>
      </w:r>
    </w:p>
    <w:p>
      <w:pPr>
        <w:spacing w:after="60"/>
        <w:ind w:firstLine="567"/>
        <w:jc w:val="both"/>
      </w:pPr>
      <w:r>
        <w:rPr>
          <w:rFonts w:ascii="Arial" w:cs="Arial" w:eastAsia="Arial" w:hAnsi="Arial"/>
          <w:sz w:val="24"/>
          <w:szCs w:val="24"/>
        </w:rPr>
        <w:t xml:space="preserve">При этом пополнение электронного кошелька, предоплаченной карты и/или виртуальной предоплаченной карты держателя, являющееся следствием уменьшения обязательств поставщика товаров и услуг перед своим абонентом (пользователем), не может осуществляться как самим поставщиком товаров и услуг, так и им по доверенности и/или поручению абонента (пользователя) и/или его доверенного лица, а также иными лицами, связанными напрямую или опосредованно договорными отношениями с поставщиком товаров и услуг.</w:t>
      </w:r>
    </w:p>
    <w:p>
      <w:pPr>
        <w:spacing w:after="60"/>
        <w:ind w:firstLine="567"/>
        <w:jc w:val="both"/>
      </w:pPr>
      <w:r>
        <w:rPr>
          <w:rFonts w:ascii="Arial" w:cs="Arial" w:eastAsia="Arial" w:hAnsi="Arial"/>
          <w:sz w:val="24"/>
          <w:szCs w:val="24"/>
        </w:rPr>
        <w:t xml:space="preserve">При пополнении электронного кошелька, предоплаченной карты и/или виртуальной предоплаченной карты держателя промежуток времени между передачей или переводом наличных, или безналичных денежных средств лицом, пополняющим электронный кошелек, предоплаченную карту и/или виртуальную предоплаченную карту держателя, и поступлением электронных денег на электронный кошелек предоплаченную карту и/или виртуальную предоплаченную карту держателя, не должен превышать 1 календарный день.</w:t>
      </w:r>
    </w:p>
    <w:p>
      <w:pPr>
        <w:spacing w:after="60"/>
        <w:ind w:firstLine="567"/>
        <w:jc w:val="both"/>
      </w:pPr>
      <w:r>
        <w:rPr>
          <w:rFonts w:ascii="Arial" w:cs="Arial" w:eastAsia="Arial" w:hAnsi="Arial"/>
          <w:sz w:val="24"/>
          <w:szCs w:val="24"/>
        </w:rPr>
        <w:t xml:space="preserve">Не допускается пополнение электронного кошелька, предоплаченной карты и/или виртуальной предоплаченной карты держателя с лицевого счета абонента (пользователя) поставщика товаров и услуг, в том числе и путем возврата аванса за товары и услуги с зачислением возвращаемого аванса на электронный кошелек, предоплаченную карту и/или виртуальную предоплаченную карту.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29witnhpqrqusp2jrefv">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Банк, агент заключает с акцептантами договор о приеме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60"/>
        <w:ind w:firstLine="567"/>
        <w:jc w:val="both"/>
      </w:pPr>
      <w:r>
        <w:rPr>
          <w:rFonts w:ascii="Arial" w:cs="Arial" w:eastAsia="Arial" w:hAnsi="Arial"/>
          <w:sz w:val="24"/>
          <w:szCs w:val="24"/>
        </w:rPr>
        <w:t xml:space="preserve">11. Выплаты по заработной плате можно переводить на идентифицированные электронные кошельки только для коммерческих организаций при условии наличия договора банка, оператора с данной коммерческой организацией и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12.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открывается на юридическое лицо с указанием уполномоченного лица, имеющего права распоряжения данным электронным кошельком в соответствии с учредительными документами, надлежащим образом оформленными внутренними приказами, распоряжениями или по доверенности.</w:t>
      </w:r>
    </w:p>
    <w:p>
      <w:pPr>
        <w:spacing w:after="60"/>
        <w:ind w:firstLine="567"/>
        <w:jc w:val="both"/>
      </w:pPr>
      <w:r>
        <w:rPr>
          <w:rFonts w:ascii="Arial" w:cs="Arial" w:eastAsia="Arial" w:hAnsi="Arial"/>
          <w:sz w:val="24"/>
          <w:szCs w:val="24"/>
        </w:rPr>
        <w:t xml:space="preserve">13. Банк, 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60"/>
        <w:ind w:firstLine="567"/>
        <w:jc w:val="both"/>
      </w:pPr>
      <w:r>
        <w:rPr>
          <w:rFonts w:ascii="Arial" w:cs="Arial" w:eastAsia="Arial" w:hAnsi="Arial"/>
          <w:sz w:val="24"/>
          <w:szCs w:val="24"/>
        </w:rPr>
        <w:t xml:space="preserve">14. Каждый зарегистрированный электронный кошелек должен иметь идентификационный номер в системе электронных денег.</w:t>
      </w:r>
    </w:p>
    <w:p>
      <w:pPr>
        <w:spacing w:after="60"/>
        <w:ind w:firstLine="567"/>
        <w:jc w:val="both"/>
      </w:pPr>
      <w:r>
        <w:rPr>
          <w:rFonts w:ascii="Arial" w:cs="Arial" w:eastAsia="Arial" w:hAnsi="Arial"/>
          <w:sz w:val="24"/>
          <w:szCs w:val="24"/>
        </w:rPr>
        <w:t xml:space="preserve">15. Любая операция по электронным деньгам должна подтверждаться, в том числе чеком об оплате или любым другим, подтверждающим оплату, документом, смс-сообщением, сообщением на электронную почту держателя электронного кошелька, содержащим все реквизиты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 1. Основные требования к банку, выпускающему электронные деньги</w:t>
      </w:r>
    </w:p>
    <w:p>
      <w:pPr>
        <w:spacing w:after="60"/>
        <w:ind w:firstLine="567"/>
        <w:jc w:val="both"/>
      </w:pPr>
      <w:r>
        <w:rPr>
          <w:rFonts w:ascii="Arial" w:cs="Arial" w:eastAsia="Arial" w:hAnsi="Arial"/>
          <w:sz w:val="24"/>
          <w:szCs w:val="24"/>
        </w:rPr>
        <w:t xml:space="preserve">16.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js2_g3kqm7fw53y60bco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60"/>
        <w:ind w:firstLine="567"/>
        <w:jc w:val="both"/>
      </w:pPr>
      <w:r>
        <w:rPr>
          <w:rFonts w:ascii="Arial" w:cs="Arial" w:eastAsia="Arial" w:hAnsi="Arial"/>
          <w:sz w:val="24"/>
          <w:szCs w:val="24"/>
        </w:rPr>
        <w:t xml:space="preserve">18. Банк разрабатывает правила, регулирующие выпуск, распространение, обработку и погашение электронных денег.</w:t>
      </w:r>
    </w:p>
    <w:p>
      <w:pPr>
        <w:spacing w:after="60"/>
        <w:ind w:firstLine="567"/>
        <w:jc w:val="both"/>
      </w:pPr>
      <w:r>
        <w:rPr>
          <w:rFonts w:ascii="Arial" w:cs="Arial" w:eastAsia="Arial" w:hAnsi="Arial"/>
          <w:sz w:val="24"/>
          <w:szCs w:val="24"/>
        </w:rPr>
        <w:t xml:space="preserve">19. Банк исполняет функции оператора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расчетов с использованием электронных денег и настоящим Положением.</w:t>
      </w:r>
    </w:p>
    <w:p>
      <w:pPr>
        <w:spacing w:after="60"/>
        <w:ind w:firstLine="567"/>
        <w:jc w:val="both"/>
      </w:pPr>
      <w:r>
        <w:rPr>
          <w:rFonts w:ascii="Arial" w:cs="Arial" w:eastAsia="Arial" w:hAnsi="Arial"/>
          <w:sz w:val="24"/>
          <w:szCs w:val="24"/>
        </w:rPr>
        <w:t xml:space="preserve">20. Договор между банком и оператором должен содержать следующие обязательные условия:</w:t>
      </w:r>
    </w:p>
    <w:p>
      <w:pPr>
        <w:spacing w:after="60"/>
        <w:ind w:firstLine="567"/>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60"/>
        <w:ind w:firstLine="567"/>
        <w:jc w:val="both"/>
      </w:pPr>
      <w:r>
        <w:rPr>
          <w:rFonts w:ascii="Arial" w:cs="Arial" w:eastAsia="Arial" w:hAnsi="Arial"/>
          <w:sz w:val="24"/>
          <w:szCs w:val="24"/>
        </w:rPr>
        <w:t xml:space="preserve">- распределение обязанностей и прав доступа к системе электронных денег;</w:t>
      </w:r>
    </w:p>
    <w:p>
      <w:pPr>
        <w:spacing w:after="60"/>
        <w:ind w:firstLine="567"/>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60"/>
        <w:ind w:firstLine="567"/>
        <w:jc w:val="both"/>
      </w:pPr>
      <w:r>
        <w:rPr>
          <w:rFonts w:ascii="Arial" w:cs="Arial" w:eastAsia="Arial" w:hAnsi="Arial"/>
          <w:sz w:val="24"/>
          <w:szCs w:val="24"/>
        </w:rPr>
        <w:t xml:space="preserve">21. Банк должен разработать внутренние правила или процедуры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60"/>
        <w:ind w:firstLine="567"/>
        <w:jc w:val="both"/>
      </w:pPr>
      <w:r>
        <w:rPr>
          <w:rFonts w:ascii="Arial" w:cs="Arial" w:eastAsia="Arial" w:hAnsi="Arial"/>
          <w:sz w:val="24"/>
          <w:szCs w:val="24"/>
        </w:rPr>
        <w:t xml:space="preserve">22. Банк обязан обеспечивать конфиденциальность и хранение данных о держателях электронных денег и осуществленных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22-1. Банку запрещается начисление и выплата процентов на остаток электронных денег на неидентифицированные электронные кошельки.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di5kcskh96vnf-bsprjz">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пользователями электронных кошельков.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bqtyrudoe_cxr_ptdipy">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2.Основные требования к оператору</w:t>
      </w:r>
    </w:p>
    <w:p>
      <w:pPr>
        <w:spacing w:after="60"/>
        <w:ind w:firstLine="567"/>
        <w:jc w:val="both"/>
      </w:pPr>
      <w:r>
        <w:rPr>
          <w:rFonts w:ascii="Arial" w:cs="Arial" w:eastAsia="Arial" w:hAnsi="Arial"/>
          <w:sz w:val="24"/>
          <w:szCs w:val="24"/>
        </w:rPr>
        <w:t xml:space="preserve">23.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требованиями,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24. Для выполнения функций процессинга по операциям с электронными деньгами оператор должен заключить договор с банком.</w:t>
      </w:r>
    </w:p>
    <w:p>
      <w:pPr>
        <w:spacing w:after="60"/>
        <w:ind w:firstLine="567"/>
        <w:jc w:val="both"/>
      </w:pPr>
      <w:r>
        <w:rPr>
          <w:rFonts w:ascii="Arial" w:cs="Arial" w:eastAsia="Arial" w:hAnsi="Arial"/>
          <w:sz w:val="24"/>
          <w:szCs w:val="24"/>
        </w:rPr>
        <w:t xml:space="preserve">25. В случае, если оператор заключает договора с несколькими банками, то оператор в своей информационной системе должен вести учет электронных кошельков по каждому банку отдельно.</w:t>
      </w:r>
    </w:p>
    <w:p>
      <w:pPr>
        <w:spacing w:after="60"/>
        <w:ind w:firstLine="567"/>
        <w:jc w:val="both"/>
      </w:pPr>
      <w:r>
        <w:rPr>
          <w:rFonts w:ascii="Arial" w:cs="Arial" w:eastAsia="Arial" w:hAnsi="Arial"/>
          <w:sz w:val="24"/>
          <w:szCs w:val="24"/>
        </w:rPr>
        <w:t xml:space="preserve">26.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26-1. Оператор системы расчетов электронными деньгами обязан обеспечить механизм хранения остатка электронных денег только на программном обеспечении и/или программно-техническом устройстве для хранения электронных денег (в том числе электронный кошелек, предоплаченная карта и/или виртуальная предоплаченная карта) держателя с возможностью осуществления платежей за товары и услуги непосредственно с использованием данного программного обеспечения и/или программно-технического устройства.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rmy_phtqiy3cytevkowg">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Оператор несет ответственность за безопасность и надежность проведения транзакций с использованием электронных денег.</w:t>
      </w:r>
    </w:p>
    <w:p>
      <w:pPr>
        <w:spacing w:after="60"/>
        <w:ind w:firstLine="567"/>
        <w:jc w:val="both"/>
      </w:pPr>
      <w:r>
        <w:rPr>
          <w:rFonts w:ascii="Arial" w:cs="Arial" w:eastAsia="Arial" w:hAnsi="Arial"/>
          <w:sz w:val="24"/>
          <w:szCs w:val="24"/>
        </w:rPr>
        <w:t xml:space="preserve">28.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w:t>
      </w:r>
    </w:p>
    <w:p>
      <w:pPr>
        <w:spacing w:after="60"/>
        <w:ind w:firstLine="567"/>
        <w:jc w:val="both"/>
      </w:pPr>
      <w:r>
        <w:rPr>
          <w:rFonts w:ascii="Arial" w:cs="Arial" w:eastAsia="Arial" w:hAnsi="Arial"/>
          <w:sz w:val="24"/>
          <w:szCs w:val="24"/>
        </w:rPr>
        <w:t xml:space="preserve">29. Оператор должен установить в своей информационной системе лимиты для электронных кошельков, выполнять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200" w:before="200"/>
        <w:jc w:val="center"/>
      </w:pPr>
      <w:r>
        <w:rPr>
          <w:rFonts w:ascii="Arial" w:cs="Arial" w:eastAsia="Arial" w:hAnsi="Arial"/>
          <w:b/>
          <w:bCs/>
          <w:sz w:val="24"/>
          <w:szCs w:val="24"/>
        </w:rPr>
        <w:t xml:space="preserve">§ 3. Лимиты, устанавливаемые для электронных денег</w:t>
      </w:r>
    </w:p>
    <w:p>
      <w:pPr>
        <w:spacing w:after="60"/>
        <w:ind w:firstLine="567"/>
        <w:jc w:val="both"/>
      </w:pPr>
      <w:r>
        <w:rPr>
          <w:rFonts w:ascii="Arial" w:cs="Arial" w:eastAsia="Arial" w:hAnsi="Arial"/>
          <w:sz w:val="24"/>
          <w:szCs w:val="24"/>
        </w:rPr>
        <w:t xml:space="preserve">30. Если клиент удаленно/дистанционно зарегистрировался в системе в соответствии с установленными процедурами банка, оператора, то его электронный кошелек считается неидентифицированным. Остаток на неидентифицированном электронном кошельке не должен превышать 150 (сто пятьдесят) расчетных показателей.</w:t>
      </w:r>
    </w:p>
    <w:p>
      <w:pPr>
        <w:spacing w:after="60"/>
        <w:ind w:firstLine="567"/>
        <w:jc w:val="both"/>
      </w:pPr>
      <w:r>
        <w:rPr>
          <w:rFonts w:ascii="Arial" w:cs="Arial" w:eastAsia="Arial" w:hAnsi="Arial"/>
          <w:sz w:val="24"/>
          <w:szCs w:val="24"/>
        </w:rPr>
        <w:t xml:space="preserve">31. Для неидентифицированных электронных кошельков проведение следующих операций запрещается:</w:t>
      </w:r>
    </w:p>
    <w:p>
      <w:pPr>
        <w:spacing w:after="60"/>
        <w:ind w:firstLine="567"/>
        <w:jc w:val="both"/>
      </w:pPr>
      <w:r>
        <w:rPr>
          <w:rFonts w:ascii="Arial" w:cs="Arial" w:eastAsia="Arial" w:hAnsi="Arial"/>
          <w:sz w:val="24"/>
          <w:szCs w:val="24"/>
        </w:rPr>
        <w:t xml:space="preserve">- перевод средств на неидентифицированные электронные кошельки;</w:t>
      </w:r>
    </w:p>
    <w:p>
      <w:pPr>
        <w:spacing w:after="60"/>
        <w:ind w:firstLine="567"/>
        <w:jc w:val="both"/>
      </w:pPr>
      <w:r>
        <w:rPr>
          <w:rFonts w:ascii="Arial" w:cs="Arial" w:eastAsia="Arial" w:hAnsi="Arial"/>
          <w:sz w:val="24"/>
          <w:szCs w:val="24"/>
        </w:rPr>
        <w:t xml:space="preserve">- погашение (обналичивание).</w:t>
      </w:r>
    </w:p>
    <w:p>
      <w:pPr>
        <w:spacing w:after="60"/>
        <w:ind w:firstLine="567"/>
        <w:jc w:val="both"/>
      </w:pPr>
      <w:r>
        <w:rPr>
          <w:rFonts w:ascii="Arial" w:cs="Arial" w:eastAsia="Arial" w:hAnsi="Arial"/>
          <w:sz w:val="24"/>
          <w:szCs w:val="24"/>
        </w:rPr>
        <w:t xml:space="preserve">32. Общий объем транзакций в месяц с неидентифицированных электронных кошельков не должен превышать 300 (триста) расчетных показателей по одному электронному кошельку.</w:t>
      </w:r>
    </w:p>
    <w:p>
      <w:pPr>
        <w:spacing w:after="60"/>
        <w:ind w:firstLine="567"/>
        <w:jc w:val="both"/>
      </w:pPr>
      <w:r>
        <w:rPr>
          <w:rFonts w:ascii="Arial" w:cs="Arial" w:eastAsia="Arial" w:hAnsi="Arial"/>
          <w:sz w:val="24"/>
          <w:szCs w:val="24"/>
        </w:rPr>
        <w:t xml:space="preserve">Для проведения операций свыше суммы, указанной в абзаце первом настоящего пункта, держатели кошелька должны пройти идентификацию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kctojpu0ptgtt_zjli-j">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Банк, агент обязан проводить процедуру идентификации и верификации держателя электронных денег - физического лица в порядке, установленном законодательством Кыргызской Республики, если остаток на электронном кошельке превышает 150 (сто пятьдесят) расчетных показателей.</w:t>
      </w:r>
    </w:p>
    <w:p>
      <w:pPr>
        <w:spacing w:after="60"/>
        <w:ind w:firstLine="567"/>
        <w:jc w:val="both"/>
      </w:pPr>
      <w:r>
        <w:rPr>
          <w:rFonts w:ascii="Arial" w:cs="Arial" w:eastAsia="Arial" w:hAnsi="Arial"/>
          <w:sz w:val="24"/>
          <w:szCs w:val="24"/>
        </w:rPr>
        <w:t xml:space="preserve">34. Банк самостоятельно должен установить размер лимитов для всех своих держателей электронных кошельков, включая агентов, акцептантов, в зависимости от категории держателей электронных кошельков для снижения рисков по операциям с электронными деньгами. Размеры лимитов в зависимости от категории держателей электронных кошельков должны быть установлены во внутренних процедурах банка.</w:t>
      </w:r>
    </w:p>
    <w:p>
      <w:pPr>
        <w:spacing w:after="60"/>
        <w:ind w:firstLine="567"/>
        <w:jc w:val="both"/>
      </w:pPr>
      <w:r>
        <w:rPr>
          <w:rFonts w:ascii="Arial" w:cs="Arial" w:eastAsia="Arial" w:hAnsi="Arial"/>
          <w:sz w:val="24"/>
          <w:szCs w:val="24"/>
        </w:rPr>
        <w:t xml:space="preserve">35. Юридические лица и индивидуальные предприниматели должны проходить полную процедуру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Максимальный размер 1 (одной) операции с использованием электронных денег для индивидуальных предпринимателей и юридических лиц не должен превышать 3000 (три тысячи) расчетных показателей. Операции, свыше этой суммы должны проходить через банковские счета этих юридических лиц и индивидуальных предпринимателей.</w:t>
      </w:r>
    </w:p>
    <w:p>
      <w:pPr>
        <w:spacing w:after="200" w:before="200"/>
        <w:jc w:val="center"/>
      </w:pPr>
      <w:r>
        <w:rPr>
          <w:rFonts w:ascii="Arial" w:cs="Arial" w:eastAsia="Arial" w:hAnsi="Arial"/>
          <w:b/>
          <w:bCs/>
          <w:sz w:val="24"/>
          <w:szCs w:val="24"/>
        </w:rPr>
        <w:t xml:space="preserve">§ 4. Порядок учета операций (платежей) с использованием электронных денег</w:t>
      </w:r>
    </w:p>
    <w:p>
      <w:pPr>
        <w:spacing w:after="60"/>
        <w:ind w:firstLine="567"/>
        <w:jc w:val="both"/>
      </w:pPr>
      <w:r>
        <w:rPr>
          <w:rFonts w:ascii="Arial" w:cs="Arial" w:eastAsia="Arial" w:hAnsi="Arial"/>
          <w:sz w:val="24"/>
          <w:szCs w:val="24"/>
        </w:rPr>
        <w:t xml:space="preserve">37. Проведение операций с использованием электронных денег осуществляется участниками системы электронных денег согласно внутренним правилам банка, оператора и условиями договоров между участниками,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38. Учет денежных средств по операциям с использованием электронных денег ведется на отдельном банковском счете по учету электронных денег банка, предназначенном для учета по всем выпущенным электронным деньгам.</w:t>
      </w:r>
    </w:p>
    <w:p>
      <w:pPr>
        <w:spacing w:after="60"/>
        <w:ind w:firstLine="567"/>
        <w:jc w:val="both"/>
      </w:pPr>
      <w:r>
        <w:rPr>
          <w:rFonts w:ascii="Arial" w:cs="Arial" w:eastAsia="Arial" w:hAnsi="Arial"/>
          <w:sz w:val="24"/>
          <w:szCs w:val="24"/>
        </w:rPr>
        <w:t xml:space="preserve">39.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банковском счете по учету электронных денег.</w:t>
      </w:r>
    </w:p>
    <w:p>
      <w:pPr>
        <w:spacing w:after="60"/>
        <w:ind w:firstLine="567"/>
        <w:jc w:val="both"/>
      </w:pPr>
      <w:r>
        <w:rPr>
          <w:rFonts w:ascii="Arial" w:cs="Arial" w:eastAsia="Arial" w:hAnsi="Arial"/>
          <w:sz w:val="24"/>
          <w:szCs w:val="24"/>
        </w:rPr>
        <w:t xml:space="preserve">40. Оператор обязан обеспечить банку доступ к информации о держателях, электронных кошельков и транзакциях в режиме реального времени.</w:t>
      </w:r>
    </w:p>
    <w:p>
      <w:pPr>
        <w:spacing w:after="60"/>
        <w:ind w:firstLine="567"/>
        <w:jc w:val="both"/>
      </w:pPr>
      <w:r>
        <w:rPr>
          <w:rFonts w:ascii="Arial" w:cs="Arial" w:eastAsia="Arial" w:hAnsi="Arial"/>
          <w:sz w:val="24"/>
          <w:szCs w:val="24"/>
        </w:rPr>
        <w:t xml:space="preserve">41. Учет денежных средств и взаиморасчеты по хозяйственной или иной деятельности банка, агента, оператора, любые виды комиссий при приеме и обслуживании электронных денег, проводятся на отдельных счетах, отличных от банковского счета по учету электронных денег, открытого у банка.</w:t>
      </w:r>
    </w:p>
    <w:p>
      <w:pPr>
        <w:spacing w:after="60"/>
        <w:ind w:firstLine="567"/>
        <w:jc w:val="both"/>
      </w:pPr>
      <w:r>
        <w:rPr>
          <w:rFonts w:ascii="Arial" w:cs="Arial" w:eastAsia="Arial" w:hAnsi="Arial"/>
          <w:sz w:val="24"/>
          <w:szCs w:val="24"/>
        </w:rPr>
        <w:t xml:space="preserve">42. Банк, оператор должен обеспечивать предоставление Национальному банку всей необходимой отчетности об операциях с использованием электронных денег в соответствии с формой, установленной в </w:t>
      </w:r>
      <w:hyperlink w:history="1" r:id="rIdapqwgxw_aew43xrpmffw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на ежеквартальной основе,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43. Национальный банк на основании регулярных отчетов, а также при инспекторских проверках осуществляет контроль за соблюдением правил системы расчетов электронными деньгами и требованиями настоящего Положения.</w:t>
      </w:r>
    </w:p>
    <w:p>
      <w:pPr>
        <w:spacing w:after="200" w:before="200"/>
        <w:jc w:val="center"/>
      </w:pPr>
      <w:r>
        <w:rPr>
          <w:rFonts w:ascii="Arial" w:cs="Arial" w:eastAsia="Arial" w:hAnsi="Arial"/>
          <w:b/>
          <w:bCs/>
          <w:sz w:val="24"/>
          <w:szCs w:val="24"/>
        </w:rPr>
        <w:t xml:space="preserve">§ 5. Агенты и распространение электронных денег</w:t>
      </w:r>
    </w:p>
    <w:p>
      <w:pPr>
        <w:spacing w:after="60"/>
        <w:ind w:firstLine="567"/>
        <w:jc w:val="both"/>
      </w:pPr>
      <w:r>
        <w:rPr>
          <w:rFonts w:ascii="Arial" w:cs="Arial" w:eastAsia="Arial" w:hAnsi="Arial"/>
          <w:sz w:val="24"/>
          <w:szCs w:val="24"/>
        </w:rPr>
        <w:t xml:space="preserve">44. Банк может заключить с агентом агентский договор на оказание определенных видов услуг с использованием электронных денег. Банк должен самостоятельно разработать критерии к агентам электронных денег, а также установить перечень возможных операций с использованием электронных денег во внутренних процедурах банка.</w:t>
      </w:r>
    </w:p>
    <w:p>
      <w:pPr>
        <w:spacing w:after="60"/>
        <w:ind w:firstLine="567"/>
        <w:jc w:val="both"/>
      </w:pPr>
      <w:r>
        <w:rPr>
          <w:rFonts w:ascii="Arial" w:cs="Arial" w:eastAsia="Arial" w:hAnsi="Arial"/>
          <w:sz w:val="24"/>
          <w:szCs w:val="24"/>
        </w:rPr>
        <w:t xml:space="preserve">45. Банк несет ответственность в пределах и в соответствии с агентским договором перед своими держателями за действия/бездействия своих агентов, выступающих в рамках агентского договора от имени банка.</w:t>
      </w:r>
    </w:p>
    <w:p>
      <w:pPr>
        <w:spacing w:after="60"/>
        <w:ind w:firstLine="567"/>
        <w:jc w:val="both"/>
      </w:pPr>
      <w:r>
        <w:rPr>
          <w:rFonts w:ascii="Arial" w:cs="Arial" w:eastAsia="Arial" w:hAnsi="Arial"/>
          <w:sz w:val="24"/>
          <w:szCs w:val="24"/>
        </w:rPr>
        <w:t xml:space="preserve">46. Агент для распространения электронных денег с согласия банка может заключить субагентский договор с субагентом. Агент несет ответственность перед банком в пределах и в соответствии с субагентским договором за действия/бездействия своих субагентов, выступающих в рамках субагентского договора от имени агента, банка.</w:t>
      </w:r>
    </w:p>
    <w:p>
      <w:pPr>
        <w:spacing w:after="60"/>
        <w:ind w:firstLine="567"/>
        <w:jc w:val="both"/>
      </w:pPr>
      <w:r>
        <w:rPr>
          <w:rFonts w:ascii="Arial" w:cs="Arial" w:eastAsia="Arial" w:hAnsi="Arial"/>
          <w:sz w:val="24"/>
          <w:szCs w:val="24"/>
        </w:rPr>
        <w:t xml:space="preserve">47. Агент может оказывать услуги нескольким банкам при условии, что агент имеет агентский договор с каждым банком.</w:t>
      </w:r>
    </w:p>
    <w:p>
      <w:pPr>
        <w:spacing w:after="60"/>
        <w:ind w:firstLine="567"/>
        <w:jc w:val="both"/>
      </w:pPr>
      <w:r>
        <w:rPr>
          <w:rFonts w:ascii="Arial" w:cs="Arial" w:eastAsia="Arial" w:hAnsi="Arial"/>
          <w:sz w:val="24"/>
          <w:szCs w:val="24"/>
        </w:rPr>
        <w:t xml:space="preserve">48. Банк должен вести базу данных своих агентов, с указанием наименования агента, фактического адреса, соответствующих документов, удостоверяющих личность и юридический статус, перечня операций и предоставлять его по запросу Национального банка или в ходе инспекторских проверок.</w:t>
      </w:r>
    </w:p>
    <w:p>
      <w:pPr>
        <w:spacing w:after="60"/>
        <w:ind w:firstLine="567"/>
        <w:jc w:val="both"/>
      </w:pPr>
      <w:r>
        <w:rPr>
          <w:rFonts w:ascii="Arial" w:cs="Arial" w:eastAsia="Arial" w:hAnsi="Arial"/>
          <w:sz w:val="24"/>
          <w:szCs w:val="24"/>
        </w:rPr>
        <w:t xml:space="preserve">49. Банк должен иметь следующие документы по привлечению агентов для распространения электронных денег:</w:t>
      </w:r>
    </w:p>
    <w:p>
      <w:pPr>
        <w:spacing w:after="60"/>
        <w:ind w:firstLine="567"/>
        <w:jc w:val="both"/>
      </w:pPr>
      <w:r>
        <w:rPr>
          <w:rFonts w:ascii="Arial" w:cs="Arial" w:eastAsia="Arial" w:hAnsi="Arial"/>
          <w:sz w:val="24"/>
          <w:szCs w:val="24"/>
        </w:rPr>
        <w:t xml:space="preserve">1) копию договора с агентом, который должен помимо прочего предусматривать обязательства агента по требованию Национального банка предоставлять информацию и доступ к своим помещениям, системам и записям;</w:t>
      </w:r>
    </w:p>
    <w:p>
      <w:pPr>
        <w:spacing w:after="60"/>
        <w:ind w:firstLine="567"/>
        <w:jc w:val="both"/>
      </w:pPr>
      <w:r>
        <w:rPr>
          <w:rFonts w:ascii="Arial" w:cs="Arial" w:eastAsia="Arial" w:hAnsi="Arial"/>
          <w:sz w:val="24"/>
          <w:szCs w:val="24"/>
        </w:rPr>
        <w:t xml:space="preserve">2) политику и процедуры оказания услуг с использованием электронных денег и их погашение через своих агентов, в том числе политику и процедуру соблюдения мер по противодействию легализации (отмыванию) преступных доходов и финансированию террористической или экстремистской деятельности, а также соответствующие положения и руководства;</w:t>
      </w:r>
    </w:p>
    <w:p>
      <w:pPr>
        <w:spacing w:after="60"/>
        <w:ind w:firstLine="567"/>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погашении через агентов, включая меры контроля, применяемые для снижения рисков;</w:t>
      </w:r>
    </w:p>
    <w:p>
      <w:pPr>
        <w:spacing w:after="60"/>
        <w:ind w:firstLine="567"/>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60"/>
        <w:ind w:firstLine="567"/>
        <w:jc w:val="both"/>
      </w:pPr>
      <w:r>
        <w:rPr>
          <w:rFonts w:ascii="Arial" w:cs="Arial" w:eastAsia="Arial" w:hAnsi="Arial"/>
          <w:sz w:val="24"/>
          <w:szCs w:val="24"/>
        </w:rPr>
        <w:t xml:space="preserve">5) по запросу Национального банка предоставлять другую информацию, которая может потребоваться от банка.</w:t>
      </w:r>
    </w:p>
    <w:p>
      <w:pPr>
        <w:spacing w:after="60"/>
        <w:ind w:firstLine="567"/>
        <w:jc w:val="both"/>
      </w:pPr>
      <w:r>
        <w:rPr>
          <w:rFonts w:ascii="Arial" w:cs="Arial" w:eastAsia="Arial" w:hAnsi="Arial"/>
          <w:sz w:val="24"/>
          <w:szCs w:val="24"/>
        </w:rPr>
        <w:t xml:space="preserve">50. Банк, привлекающий агента для выполнения услуг с использованием электронных денег, должен вести учет/запись, содержащий следующую информацию:</w:t>
      </w:r>
    </w:p>
    <w:p>
      <w:pPr>
        <w:spacing w:after="60"/>
        <w:ind w:firstLine="567"/>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60"/>
        <w:ind w:firstLine="567"/>
        <w:jc w:val="both"/>
      </w:pPr>
      <w:r>
        <w:rPr>
          <w:rFonts w:ascii="Arial" w:cs="Arial" w:eastAsia="Arial" w:hAnsi="Arial"/>
          <w:sz w:val="24"/>
          <w:szCs w:val="24"/>
        </w:rPr>
        <w:t xml:space="preserve">- фактический/юридический адрес, и номера телефонов агента.</w:t>
      </w:r>
    </w:p>
    <w:p>
      <w:pPr>
        <w:spacing w:after="60"/>
        <w:ind w:firstLine="567"/>
        <w:jc w:val="both"/>
      </w:pPr>
      <w:r>
        <w:rPr>
          <w:rFonts w:ascii="Arial" w:cs="Arial" w:eastAsia="Arial" w:hAnsi="Arial"/>
          <w:sz w:val="24"/>
          <w:szCs w:val="24"/>
        </w:rPr>
        <w:t xml:space="preserve">51. Банк, привлекающий агента для оказания услуг с использованием электронных денег, обязан:</w:t>
      </w:r>
    </w:p>
    <w:p>
      <w:pPr>
        <w:spacing w:after="60"/>
        <w:ind w:firstLine="567"/>
        <w:jc w:val="both"/>
      </w:pPr>
      <w:r>
        <w:rPr>
          <w:rFonts w:ascii="Arial" w:cs="Arial" w:eastAsia="Arial" w:hAnsi="Arial"/>
          <w:sz w:val="24"/>
          <w:szCs w:val="24"/>
        </w:rPr>
        <w:t xml:space="preserve">1) предоставить надлежащее обучение своему агенту, в том числе руководство для агента или акцептанта, содержащее политику, правила и операционное руководство, необходимые для обеспечения безопасного и эффективного предоставления услуг клиентам;</w:t>
      </w:r>
    </w:p>
    <w:p>
      <w:pPr>
        <w:spacing w:after="60"/>
        <w:ind w:firstLine="567"/>
        <w:jc w:val="both"/>
      </w:pPr>
      <w:r>
        <w:rPr>
          <w:rFonts w:ascii="Arial" w:cs="Arial" w:eastAsia="Arial" w:hAnsi="Arial"/>
          <w:sz w:val="24"/>
          <w:szCs w:val="24"/>
        </w:rPr>
        <w:t xml:space="preserve">2) осуществлять контроль за деятельностью своих агентов, в рамках заключенного агентского договора;</w:t>
      </w:r>
    </w:p>
    <w:p>
      <w:pPr>
        <w:spacing w:after="60"/>
        <w:ind w:firstLine="567"/>
        <w:jc w:val="both"/>
      </w:pPr>
      <w:r>
        <w:rPr>
          <w:rFonts w:ascii="Arial" w:cs="Arial" w:eastAsia="Arial" w:hAnsi="Arial"/>
          <w:sz w:val="24"/>
          <w:szCs w:val="24"/>
        </w:rPr>
        <w:t xml:space="preserve">3) вести учет количества, объемов и размеров операций, осуществляемых каждым агентом.</w:t>
      </w:r>
    </w:p>
    <w:p>
      <w:pPr>
        <w:spacing w:after="60"/>
        <w:ind w:firstLine="567"/>
        <w:jc w:val="both"/>
      </w:pPr>
      <w:r>
        <w:rPr>
          <w:rFonts w:ascii="Arial" w:cs="Arial" w:eastAsia="Arial" w:hAnsi="Arial"/>
          <w:sz w:val="24"/>
          <w:szCs w:val="24"/>
        </w:rPr>
        <w:t xml:space="preserve">52. Распространение электронных денег может осуществляться банком, агентом и субагентом.</w:t>
      </w:r>
    </w:p>
    <w:p>
      <w:pPr>
        <w:spacing w:after="60"/>
        <w:ind w:firstLine="567"/>
        <w:jc w:val="both"/>
      </w:pPr>
      <w:r>
        <w:rPr>
          <w:rFonts w:ascii="Arial" w:cs="Arial" w:eastAsia="Arial" w:hAnsi="Arial"/>
          <w:sz w:val="24"/>
          <w:szCs w:val="24"/>
        </w:rPr>
        <w:t xml:space="preserve">53. При распространении электронных денег банк, агент, субагент должен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60"/>
        <w:ind w:firstLine="567"/>
        <w:jc w:val="both"/>
      </w:pPr>
      <w:r>
        <w:rPr>
          <w:rFonts w:ascii="Arial" w:cs="Arial" w:eastAsia="Arial" w:hAnsi="Arial"/>
          <w:sz w:val="24"/>
          <w:szCs w:val="24"/>
        </w:rPr>
        <w:t xml:space="preserve">54. Для распространения электронных денег агент перечисляет банку денежные средства/предоставляет банковские гарантии, равные сумме номинала,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60"/>
        <w:ind w:firstLine="567"/>
        <w:jc w:val="both"/>
      </w:pPr>
      <w:r>
        <w:rPr>
          <w:rFonts w:ascii="Arial" w:cs="Arial" w:eastAsia="Arial" w:hAnsi="Arial"/>
          <w:sz w:val="24"/>
          <w:szCs w:val="24"/>
        </w:rPr>
        <w:t xml:space="preserve">55. Все взаиморасчеты между банком, агентом, и субагентом должны осуществляться через их банковские расчетные счета и/или электронные кошельки.</w:t>
      </w:r>
    </w:p>
    <w:p>
      <w:pPr>
        <w:spacing w:after="200" w:before="200"/>
        <w:jc w:val="center"/>
      </w:pPr>
      <w:r>
        <w:rPr>
          <w:rFonts w:ascii="Arial" w:cs="Arial" w:eastAsia="Arial" w:hAnsi="Arial"/>
          <w:b/>
          <w:bCs/>
          <w:sz w:val="24"/>
          <w:szCs w:val="24"/>
        </w:rPr>
        <w:t xml:space="preserve">§ 6. Порядок погашения электронных денег</w:t>
      </w:r>
    </w:p>
    <w:p>
      <w:pPr>
        <w:spacing w:after="60"/>
        <w:ind w:firstLine="567"/>
        <w:jc w:val="both"/>
      </w:pPr>
      <w:r>
        <w:rPr>
          <w:rFonts w:ascii="Arial" w:cs="Arial" w:eastAsia="Arial" w:hAnsi="Arial"/>
          <w:sz w:val="24"/>
          <w:szCs w:val="24"/>
        </w:rPr>
        <w:t xml:space="preserve">56. Банк обязан погасить держателю выпущенные электронные деньги путем обмена на наличные денежные средства либо путем перечисления безналичных средств на банковский счет держателя.</w:t>
      </w:r>
    </w:p>
    <w:p>
      <w:pPr>
        <w:spacing w:after="60"/>
        <w:ind w:firstLine="567"/>
        <w:jc w:val="both"/>
      </w:pPr>
      <w:r>
        <w:rPr>
          <w:rFonts w:ascii="Arial" w:cs="Arial" w:eastAsia="Arial" w:hAnsi="Arial"/>
          <w:sz w:val="24"/>
          <w:szCs w:val="24"/>
        </w:rPr>
        <w:t xml:space="preserve">57. Обналичивание электронных денег может производиться как банком, так и агентом, субагентом, заключившим агентский договор с банком.</w:t>
      </w:r>
    </w:p>
    <w:p>
      <w:pPr>
        <w:spacing w:after="60"/>
        <w:ind w:firstLine="567"/>
        <w:jc w:val="both"/>
      </w:pPr>
      <w:r>
        <w:rPr>
          <w:rFonts w:ascii="Arial" w:cs="Arial" w:eastAsia="Arial" w:hAnsi="Arial"/>
          <w:sz w:val="24"/>
          <w:szCs w:val="24"/>
        </w:rPr>
        <w:t xml:space="preserve">58. Юридическим лицам погашение электронных денег на сумму свыше 500 (пятьсот) расчетных показателей, осуществляется только путем перевода денежных средств на их банковские счета.</w:t>
      </w:r>
    </w:p>
    <w:p>
      <w:pPr>
        <w:spacing w:after="60"/>
        <w:ind w:firstLine="567"/>
        <w:jc w:val="both"/>
      </w:pPr>
      <w:r>
        <w:rPr>
          <w:rFonts w:ascii="Arial" w:cs="Arial" w:eastAsia="Arial" w:hAnsi="Arial"/>
          <w:sz w:val="24"/>
          <w:szCs w:val="24"/>
        </w:rPr>
        <w:t xml:space="preserve">59. При погашении электронных денег сумма выдаваемых денежных средств должна соответствовать сумме электронных денег, предъявленных к погашению. При этом банк оплачивает вознаграждение агенту в размере и порядке, установленных в агентском договоре.</w:t>
      </w:r>
    </w:p>
    <w:p>
      <w:pPr>
        <w:spacing w:after="200" w:before="200"/>
        <w:jc w:val="center"/>
      </w:pPr>
      <w:r>
        <w:rPr>
          <w:rFonts w:ascii="Arial" w:cs="Arial" w:eastAsia="Arial" w:hAnsi="Arial"/>
          <w:b/>
          <w:bCs/>
          <w:sz w:val="24"/>
          <w:szCs w:val="24"/>
        </w:rPr>
        <w:t xml:space="preserve">§ 7. Санкционирование операций (транзакций) с электронными деньгами</w:t>
      </w:r>
    </w:p>
    <w:p>
      <w:pPr>
        <w:spacing w:after="60"/>
        <w:ind w:firstLine="567"/>
        <w:jc w:val="both"/>
      </w:pPr>
      <w:r>
        <w:rPr>
          <w:rFonts w:ascii="Arial" w:cs="Arial" w:eastAsia="Arial" w:hAnsi="Arial"/>
          <w:sz w:val="24"/>
          <w:szCs w:val="24"/>
        </w:rPr>
        <w:t xml:space="preserve">60. Операция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 оператором, агентом, субагентом и держателем электронных денег. При отсутствии такого согласия транзакция считается несанкционированной.</w:t>
      </w:r>
    </w:p>
    <w:p>
      <w:pPr>
        <w:spacing w:after="60"/>
        <w:ind w:firstLine="567"/>
        <w:jc w:val="both"/>
      </w:pPr>
      <w:r>
        <w:rPr>
          <w:rFonts w:ascii="Arial" w:cs="Arial" w:eastAsia="Arial" w:hAnsi="Arial"/>
          <w:sz w:val="24"/>
          <w:szCs w:val="24"/>
        </w:rPr>
        <w:t xml:space="preserve">61. Поручение о проведении транзакции с электронными деньгами, полученное акцептантом, имеет такую же силу, что и поручение от держателя, и должно быть проверено банком, оператором держателем электронных денег в соответствии с порядком, установленным процедурами безопасности банка, оператора.</w:t>
      </w:r>
    </w:p>
    <w:p>
      <w:pPr>
        <w:spacing w:after="60"/>
        <w:ind w:firstLine="567"/>
        <w:jc w:val="both"/>
      </w:pPr>
      <w:r>
        <w:rPr>
          <w:rFonts w:ascii="Arial" w:cs="Arial" w:eastAsia="Arial" w:hAnsi="Arial"/>
          <w:sz w:val="24"/>
          <w:szCs w:val="24"/>
        </w:rPr>
        <w:t xml:space="preserve">62.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60"/>
        <w:ind w:firstLine="567"/>
        <w:jc w:val="both"/>
      </w:pPr>
      <w:r>
        <w:rPr>
          <w:rFonts w:ascii="Arial" w:cs="Arial" w:eastAsia="Arial" w:hAnsi="Arial"/>
          <w:sz w:val="24"/>
          <w:szCs w:val="24"/>
        </w:rPr>
        <w:t xml:space="preserve">1) если держатель докажет, что</w:t>
      </w:r>
    </w:p>
    <w:p>
      <w:pPr>
        <w:spacing w:after="60"/>
        <w:ind w:firstLine="567"/>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60"/>
        <w:ind w:firstLine="567"/>
        <w:jc w:val="both"/>
      </w:pPr>
      <w:r>
        <w:rPr>
          <w:rFonts w:ascii="Arial" w:cs="Arial" w:eastAsia="Arial" w:hAnsi="Arial"/>
          <w:sz w:val="24"/>
          <w:szCs w:val="24"/>
        </w:rPr>
        <w:t xml:space="preserve">-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60"/>
        <w:ind w:firstLine="567"/>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60"/>
        <w:ind w:firstLine="567"/>
        <w:jc w:val="both"/>
      </w:pPr>
      <w:r>
        <w:rPr>
          <w:rFonts w:ascii="Arial" w:cs="Arial" w:eastAsia="Arial" w:hAnsi="Arial"/>
          <w:sz w:val="24"/>
          <w:szCs w:val="24"/>
        </w:rPr>
        <w:t xml:space="preserve">3) если проведена дублирующая транзакция, то держатель вправе взыскать с получателя сумму, которая была списана свыше суммы транзакции.</w:t>
      </w:r>
    </w:p>
    <w:p>
      <w:pPr>
        <w:spacing w:after="60"/>
        <w:ind w:firstLine="567"/>
        <w:jc w:val="both"/>
      </w:pPr>
      <w:r>
        <w:rPr>
          <w:rFonts w:ascii="Arial" w:cs="Arial" w:eastAsia="Arial" w:hAnsi="Arial"/>
          <w:sz w:val="24"/>
          <w:szCs w:val="24"/>
        </w:rPr>
        <w:t xml:space="preserve">63. Банк/оператор обязан предоставить эффективные и удобные средства, с помощью которых держатель может уведомлять Банк/оператор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o75xfdywqdyks1fsic_a">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Банк/оператор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egl6zscy7nwegqtdtmij">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Банк/оператор несет ответственность перед держателями:</w:t>
      </w:r>
    </w:p>
    <w:p>
      <w:pPr>
        <w:spacing w:after="60"/>
        <w:ind w:firstLine="567"/>
        <w:jc w:val="both"/>
      </w:pPr>
      <w:r>
        <w:rPr>
          <w:rFonts w:ascii="Arial" w:cs="Arial" w:eastAsia="Arial" w:hAnsi="Arial"/>
          <w:sz w:val="24"/>
          <w:szCs w:val="24"/>
        </w:rPr>
        <w:t xml:space="preserve">1) за убытки, вызванные отказом системы электронных денег при проведении транзакции, принятой в соответствии с поручением держателя, если банком, оператором не были соблюдены требования, изложенные в настоящем разделе по уведомлению держателя о сбое системы электронных денег;</w:t>
      </w:r>
    </w:p>
    <w:p>
      <w:pPr>
        <w:spacing w:after="60"/>
        <w:ind w:firstLine="567"/>
        <w:jc w:val="both"/>
      </w:pPr>
      <w:r>
        <w:rPr>
          <w:rFonts w:ascii="Arial" w:cs="Arial" w:eastAsia="Arial" w:hAnsi="Arial"/>
          <w:sz w:val="24"/>
          <w:szCs w:val="24"/>
        </w:rPr>
        <w:t xml:space="preserve">2) за ошибки в вычислениях или бухгалтерском учете.</w:t>
      </w:r>
    </w:p>
    <w:p>
      <w:pPr>
        <w:spacing w:after="60"/>
        <w:ind w:firstLine="567"/>
        <w:jc w:val="both"/>
      </w:pPr>
      <w:r>
        <w:rPr>
          <w:rFonts w:ascii="Arial" w:cs="Arial" w:eastAsia="Arial" w:hAnsi="Arial"/>
          <w:sz w:val="24"/>
          <w:szCs w:val="24"/>
        </w:rPr>
        <w:t xml:space="preserve">66. Банк, оператор обязан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60"/>
        <w:ind w:firstLine="567"/>
        <w:jc w:val="both"/>
      </w:pPr>
      <w:r>
        <w:rPr>
          <w:rFonts w:ascii="Arial" w:cs="Arial" w:eastAsia="Arial" w:hAnsi="Arial"/>
          <w:sz w:val="24"/>
          <w:szCs w:val="24"/>
        </w:rPr>
        <w:t xml:space="preserve">67. Банк, оператор обязан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60"/>
        <w:ind w:firstLine="567"/>
        <w:jc w:val="both"/>
      </w:pPr>
      <w:r>
        <w:rPr>
          <w:rFonts w:ascii="Arial" w:cs="Arial" w:eastAsia="Arial" w:hAnsi="Arial"/>
          <w:sz w:val="24"/>
          <w:szCs w:val="24"/>
        </w:rPr>
        <w:t xml:space="preserve">68. Банк не несет ответственности перед держателем, если перевод электронных средств не был осуществлен по причине или в результате форс-мажорных обстоятельств или других обстоятельств, находящихся вне его контроля, при условии, что банк в момент совершения транзакции уведомил о технической неисправности держателя.</w:t>
      </w:r>
    </w:p>
    <w:p>
      <w:pPr>
        <w:spacing w:after="200" w:before="200"/>
        <w:jc w:val="center"/>
      </w:pPr>
      <w:r>
        <w:rPr>
          <w:rFonts w:ascii="Arial" w:cs="Arial" w:eastAsia="Arial" w:hAnsi="Arial"/>
          <w:b/>
          <w:bCs/>
          <w:sz w:val="24"/>
          <w:szCs w:val="24"/>
        </w:rPr>
        <w:t xml:space="preserve">Глава 4. Требования к агенту международных систем электронных денег и оператору международных систем электронных денег/эмитенту международных электронных денег</w:t>
      </w:r>
    </w:p>
    <w:p>
      <w:pPr>
        <w:spacing w:after="200"/>
        <w:jc w:val="center"/>
      </w:pPr>
      <w:r>
        <w:rPr>
          <w:rFonts w:ascii="Arial" w:cs="Arial" w:eastAsia="Arial" w:hAnsi="Arial"/>
          <w:i/>
          <w:iCs/>
          <w:sz w:val="24"/>
          <w:szCs w:val="24"/>
        </w:rPr>
        <w:t xml:space="preserve">(Наименование главы
 в редакции </w:t>
      </w:r>
      <w:hyperlink w:history="1" r:id="rIdxwls8onwf154w-b-zg2h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мая 2017 года № 19/1)</w:t>
      </w:r>
    </w:p>
    <w:p>
      <w:pPr>
        <w:spacing w:after="60"/>
        <w:ind w:firstLine="567"/>
        <w:jc w:val="both"/>
      </w:pPr>
      <w:r>
        <w:rPr>
          <w:rFonts w:ascii="Arial" w:cs="Arial" w:eastAsia="Arial" w:hAnsi="Arial"/>
          <w:sz w:val="24"/>
          <w:szCs w:val="24"/>
        </w:rPr>
        <w:t xml:space="preserve">69. Международная система электронных денег/эмитент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должна пройти регистрацию в Национальном банке. Деятельность оператора международной системы электронных денег/эмитента международных электронных денег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i/>
          <w:iCs/>
          <w:sz w:val="24"/>
          <w:szCs w:val="24"/>
        </w:rPr>
        <w:t xml:space="preserve">Внимание! В соответствии с пунктом 3-1 </w:t>
      </w:r>
      <w:hyperlink w:history="1" r:id="rIdepbcuqp_bzvahu4zrgcs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Национального банка Кыргызской Республики от 30 марта 2016 года № 15/6 требование пункта 69 настоящего Положения вступает в силу с 1 июня 2017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93zxscuy5razwwb1eb9n">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Для прохождения регистрации оператор международной системы электронных денег/эмитент международной системы электронных денег направляет в Национальный банк заявление о регистрации и предоставляет пакет документов, включающих следующее:</w:t>
      </w:r>
    </w:p>
    <w:p>
      <w:pPr>
        <w:spacing w:after="60"/>
        <w:ind w:firstLine="567"/>
        <w:jc w:val="both"/>
      </w:pPr>
      <w:r>
        <w:rPr>
          <w:rFonts w:ascii="Arial" w:cs="Arial" w:eastAsia="Arial" w:hAnsi="Arial"/>
          <w:sz w:val="24"/>
          <w:szCs w:val="24"/>
        </w:rPr>
        <w:t xml:space="preserve">- наименование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копии разрешительных документов оператора международной системы электронных денег/эмитента международных электронных денег, лицензии/сертификата/свидетельства о регистрации на право осуществления деятельности оператора/эмитента электронных денег/электронных денежных средств, по процессингу и обслуживанию, выданных уполномоченным органом страны происхождения, регулирующим указанную деятельность;</w:t>
      </w:r>
    </w:p>
    <w:p>
      <w:pPr>
        <w:spacing w:after="60"/>
        <w:ind w:firstLine="567"/>
        <w:jc w:val="both"/>
      </w:pPr>
      <w:r>
        <w:rPr>
          <w:rFonts w:ascii="Arial" w:cs="Arial" w:eastAsia="Arial" w:hAnsi="Arial"/>
          <w:sz w:val="24"/>
          <w:szCs w:val="24"/>
        </w:rPr>
        <w:t xml:space="preserve">-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zfesd4uguytum43a0jyo">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В случае необходимости, по запросу Национального банка, отдельные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72. Срок рассмотрения заявления на регистрацию оператора международной системы электронных денег/эмитента международных электронных денег составляет 15 календарных дней.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 В случае несоответствия документов установленным требованиям и при предоставлении неполного пакета документов они возвращаются на доработку. Оператор международной системы электронных денег/эмитент международных электронных денег в срок не более 10 календарных дней должна/должен предоставить в Национальный банк документы, доработанные с учетом замечаний. При предоставлении документов, не соответствующих требованиям настоящего Положения или не в полном объеме более двух раз, Национальный банк вправе отказать оператору международной системы электронных денег/эмитенту международных электронных денег в регистрации.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cenzek7frruvog2a3yko">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В случае принятия решения о регистрации Национальный банк присваивает оператору международной системы электронных денег/эмитенту международной системы электронных денег регистрационный номер и включает информацию в реестр международных платежных систем на территории Кыргызской Республики и в срок не позднее 7 календарных дней с даты принятия решения направляет оператору международной системы электронных денег/эмитенту международных электронных денег письмо о прохождении регистрации.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8y61xiej-v8b0jqc_fhn">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Оператор международной системы электронных денег/эмитент международных электронных денег обязан уведомить в письменной форме Национальный банк об изменении любых сведений, указанных при регистрации в течение трех рабочих дней с момента наступления изменений. Национальный банк на основании предоставленной информации в течение трех рабочих дней вносит изменения в реестр международных платежных систем.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bdwukiq6yy-f7s6_6z9-">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Документы, предоставленные оператором международной системы электронных денег/эмитентом международных электронных денег в Национальный банк, не возвращаются.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nwqv0g_fjqc68usrkpll">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Оператор международной системы электронных денег/эмитент международных электронных денег после прохождения процедуры регистрации должна/должен предоставить для Национального банка постоянный доступ к документам системы (правилам, действующим тарифам, типовым договорам, требованиям для участия, отчетам и т.д.), в том числе на своих сайтах.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tipbfeq8uq40u6neuqwx">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76-1. Оператор международной системы электронных денег/эмитент международных электронных денег не позднее 6 (шести) месяцев со дня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e2xtc4dfjk4-5evq4xxs">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международной системы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vagfgf8li6t_vtdhqdia">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Агент международной системы электронных денег может предоставлять услуги по погашению и пополнению международных электронных денег, а также заключать договоры с акцептантами для приема международных электронных денег для оплаты товаров или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6ghu8te8mu3tlbg-x97i">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Агент международной системы электронных денег может заключать договора с субагентами для выполнения ими функций обналичивания и пополнения международных электронных денег. В качестве субагентов международной системы электронных денег могут выступать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80. Агент международной системы электронных денег должен выполнять требования по лимитам для международных электронных кошельков, действующим на территории Кыргызской Республики в соответствии с § 3 Главы 3 настоящего Положения.</w:t>
      </w:r>
    </w:p>
    <w:p>
      <w:pPr>
        <w:spacing w:after="60"/>
        <w:ind w:firstLine="567"/>
        <w:jc w:val="both"/>
      </w:pPr>
      <w:r>
        <w:rPr>
          <w:rFonts w:ascii="Arial" w:cs="Arial" w:eastAsia="Arial" w:hAnsi="Arial"/>
          <w:sz w:val="24"/>
          <w:szCs w:val="24"/>
        </w:rPr>
        <w:t xml:space="preserve">81. Погашение международных электронных денег может проводиться в иностранной или национальной валюте по собственному выбору держателя международных электронных денег. 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сайте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8wv9tcwd086mm2zy9fbz">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Учет денежных средств, поступающих от держателей международных электронных денег, ведется на отдельном банковском счете, предназначенном для учета по операциям с международными электронными деньгами.</w:t>
      </w:r>
    </w:p>
    <w:p>
      <w:pPr>
        <w:spacing w:after="60"/>
        <w:ind w:firstLine="567"/>
        <w:jc w:val="both"/>
      </w:pPr>
      <w:r>
        <w:rPr>
          <w:rFonts w:ascii="Arial" w:cs="Arial" w:eastAsia="Arial" w:hAnsi="Arial"/>
          <w:sz w:val="24"/>
          <w:szCs w:val="24"/>
        </w:rPr>
        <w:t xml:space="preserve">83. Агент международных систем электронных денег должен иметь разработанные и утвержденные внутренние правила и процедуры по работе с международной системой электронных денег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84. Агент международной системы электронных денег предоставляет отчет в Национальный банк в форме, установленной в </w:t>
      </w:r>
      <w:hyperlink w:history="1" r:id="rIdkgikdgsrw76hlsakthu6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до 15 числа месяца следующим за отчетным кварталом.</w:t>
      </w:r>
    </w:p>
    <w:p>
      <w:pPr>
        <w:spacing w:after="200" w:before="200"/>
        <w:jc w:val="center"/>
      </w:pPr>
      <w:r>
        <w:rPr>
          <w:rFonts w:ascii="Arial" w:cs="Arial" w:eastAsia="Arial" w:hAnsi="Arial"/>
          <w:b/>
          <w:bCs/>
          <w:sz w:val="24"/>
          <w:szCs w:val="24"/>
        </w:rPr>
        <w:t xml:space="preserve">Глава 5. Управление рисками при использовании электронных денег</w:t>
      </w:r>
    </w:p>
    <w:p>
      <w:pPr>
        <w:spacing w:after="60"/>
        <w:ind w:firstLine="567"/>
        <w:jc w:val="both"/>
      </w:pPr>
      <w:r>
        <w:rPr>
          <w:rFonts w:ascii="Arial" w:cs="Arial" w:eastAsia="Arial" w:hAnsi="Arial"/>
          <w:sz w:val="24"/>
          <w:szCs w:val="24"/>
        </w:rPr>
        <w:t xml:space="preserve">85.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86.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87. Система электронных денег должна обладать возможностью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88.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89.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защиты прав потребителей.</w:t>
      </w:r>
    </w:p>
    <w:p>
      <w:pPr>
        <w:spacing w:after="60"/>
        <w:ind w:firstLine="567"/>
        <w:jc w:val="both"/>
      </w:pPr>
      <w:r>
        <w:rPr>
          <w:rFonts w:ascii="Arial" w:cs="Arial" w:eastAsia="Arial" w:hAnsi="Arial"/>
          <w:sz w:val="24"/>
          <w:szCs w:val="24"/>
        </w:rPr>
        <w:t xml:space="preserve">90. Управление операционным риском в системе электронных денег должно быть основано на реализации следующих основных принципов:</w:t>
      </w:r>
    </w:p>
    <w:p>
      <w:pPr>
        <w:spacing w:after="60"/>
        <w:ind w:firstLine="567"/>
        <w:jc w:val="both"/>
      </w:pPr>
      <w:r>
        <w:rPr>
          <w:rFonts w:ascii="Arial" w:cs="Arial" w:eastAsia="Arial" w:hAnsi="Arial"/>
          <w:sz w:val="24"/>
          <w:szCs w:val="24"/>
        </w:rPr>
        <w:t xml:space="preserve">1) наличие процедур внутреннего контроля и аудита работы системы, хранение информации о действиях системы и проводимых транзакциях в электронном виде;</w:t>
      </w:r>
    </w:p>
    <w:p>
      <w:pPr>
        <w:spacing w:after="60"/>
        <w:ind w:firstLine="567"/>
        <w:jc w:val="both"/>
      </w:pPr>
      <w:r>
        <w:rPr>
          <w:rFonts w:ascii="Arial" w:cs="Arial" w:eastAsia="Arial" w:hAnsi="Arial"/>
          <w:sz w:val="24"/>
          <w:szCs w:val="24"/>
        </w:rPr>
        <w:t xml:space="preserve">2) наличие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60"/>
        <w:ind w:firstLine="567"/>
        <w:jc w:val="both"/>
      </w:pPr>
      <w:r>
        <w:rPr>
          <w:rFonts w:ascii="Arial" w:cs="Arial" w:eastAsia="Arial" w:hAnsi="Arial"/>
          <w:sz w:val="24"/>
          <w:szCs w:val="24"/>
        </w:rPr>
        <w:t xml:space="preserve">3) наличие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60"/>
        <w:ind w:firstLine="567"/>
        <w:jc w:val="both"/>
      </w:pPr>
      <w:r>
        <w:rPr>
          <w:rFonts w:ascii="Arial" w:cs="Arial" w:eastAsia="Arial" w:hAnsi="Arial"/>
          <w:sz w:val="24"/>
          <w:szCs w:val="24"/>
        </w:rPr>
        <w:t xml:space="preserve">4) наличие плана по обеспечению непрерывности деятельности, как минимум, для системно-важных модулей системы электронных денег.</w:t>
      </w:r>
    </w:p>
    <w:p>
      <w:pPr>
        <w:spacing w:after="200" w:before="200"/>
        <w:jc w:val="center"/>
      </w:pPr>
      <w:r>
        <w:rPr>
          <w:rFonts w:ascii="Arial" w:cs="Arial" w:eastAsia="Arial" w:hAnsi="Arial"/>
          <w:b/>
          <w:bCs/>
          <w:sz w:val="24"/>
          <w:szCs w:val="24"/>
        </w:rPr>
        <w:t xml:space="preserve">Глава 6. Порядок выдачи лицензии банку на выпуск электронных денег</w:t>
      </w:r>
    </w:p>
    <w:p>
      <w:pPr>
        <w:spacing w:after="200"/>
        <w:jc w:val="center"/>
      </w:pPr>
      <w:r>
        <w:rPr>
          <w:rFonts w:ascii="Arial" w:cs="Arial" w:eastAsia="Arial" w:hAnsi="Arial"/>
          <w:i/>
          <w:iCs/>
          <w:sz w:val="24"/>
          <w:szCs w:val="24"/>
        </w:rPr>
        <w:t xml:space="preserve">(Глава утратила силу 
 в соответствии с </w:t>
      </w:r>
      <w:hyperlink w:history="1" r:id="rIdmrmlvouuvqljh4idkau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104. Банки, осуществляющие выпуск электронных денег, и/или распространение электронных денег международных систем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105. Банк, агент и оператор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60"/>
        <w:ind w:firstLine="567"/>
        <w:jc w:val="both"/>
      </w:pPr>
      <w:r>
        <w:rPr>
          <w:rFonts w:ascii="Arial" w:cs="Arial" w:eastAsia="Arial" w:hAnsi="Arial"/>
          <w:sz w:val="24"/>
          <w:szCs w:val="24"/>
        </w:rPr>
        <w:t xml:space="preserve">106. Банк, агент, оператор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связанной с выпуском и обращением электронных денег
 за ____ квартал _____ года
 _________________________________________
 (наименование банка, оператора)</w:t>
      </w:r>
    </w:p>
    <w:p>
      <w:pPr>
        <w:spacing w:after="120"/>
        <w:ind w:firstLine="567"/>
        <w:jc w:val="both"/>
      </w:pPr>
      <w:r>
        <w:rPr>
          <w:rFonts w:ascii="Arial" w:cs="Arial" w:eastAsia="Arial" w:hAnsi="Arial"/>
          <w:sz w:val="24"/>
          <w:szCs w:val="24"/>
        </w:rPr>
        <w:t xml:space="preserve">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3"/>
        <w:gridCol w:w="708"/>
        <w:gridCol w:w="1044"/>
        <w:gridCol w:w="934"/>
        <w:gridCol w:w="810"/>
        <w:gridCol w:w="810"/>
        <w:gridCol w:w="810"/>
        <w:gridCol w:w="810"/>
        <w:gridCol w:w="810"/>
        <w:gridCol w:w="810"/>
        <w:gridCol w:w="810"/>
        <w:gridCol w:w="810"/>
      </w:tblGrid>
      <w:tr>
        <w:tc>
          <w:tcPr>
            <w:tcW w:type="dxa" w:w="10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продукта</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пользователей (количество электронных кошельков)</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электронных денег на конец отчетного периода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денежных средств с одного электронного кошелька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Обналичивание электронных денег</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r>
      <w:tr>
        <w:tc>
          <w:tcPr>
            <w:tcW w:type="dxa" w:w="10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Е-money</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Контактное лицо ____________________________________________________</w:t>
      </w:r>
    </w:p>
    <w:p>
      <w:pPr>
        <w:spacing w:after="60"/>
        <w:ind w:firstLine="567"/>
        <w:jc w:val="both"/>
      </w:pPr>
      <w:r>
        <w:rPr>
          <w:rFonts w:ascii="Arial" w:cs="Arial" w:eastAsia="Arial" w:hAnsi="Arial"/>
          <w:sz w:val="24"/>
          <w:szCs w:val="24"/>
        </w:rPr>
        <w:t xml:space="preserve">(ФИО, номер телефона)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ОТЧЕТ
 о деятельности, связанной с выпуском и обращением электронных денег
 за _____ квартал _____ года
 __________________________________________________
 (наименование банка-эмитента, оператора)</w:t>
      </w:r>
    </w:p>
    <w:p>
      <w:pPr>
        <w:spacing w:after="120"/>
        <w:ind w:firstLine="567"/>
        <w:jc w:val="both"/>
      </w:pPr>
      <w:r>
        <w:rPr>
          <w:rFonts w:ascii="Arial" w:cs="Arial" w:eastAsia="Arial" w:hAnsi="Arial"/>
          <w:sz w:val="24"/>
          <w:szCs w:val="24"/>
        </w:rPr>
        <w:t xml:space="preserve">Юридические лица и индивидуальные предприниматели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629"/>
        <w:gridCol w:w="1146"/>
        <w:gridCol w:w="926"/>
        <w:gridCol w:w="828"/>
        <w:gridCol w:w="719"/>
        <w:gridCol w:w="719"/>
        <w:gridCol w:w="719"/>
        <w:gridCol w:w="719"/>
        <w:gridCol w:w="719"/>
        <w:gridCol w:w="719"/>
        <w:gridCol w:w="719"/>
        <w:gridCol w:w="719"/>
      </w:tblGrid>
      <w:tr>
        <w:tc>
          <w:tcPr>
            <w:tcW w:type="dxa" w:w="9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продукта</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юр. лиц и индивидуальных предпринимателей</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пользователей (количество электронных кошельков)</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электронных денег на конец отчетного периода</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денежных средств с одного электронного кошелька</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Обналичивание электронных денег</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Е-money</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Контактное лицо ____________________________________________________________</w:t>
      </w:r>
    </w:p>
    <w:p>
      <w:pPr>
        <w:spacing w:after="60"/>
        <w:ind w:firstLine="567"/>
        <w:jc w:val="both"/>
      </w:pPr>
      <w:r>
        <w:rPr>
          <w:rFonts w:ascii="Arial" w:cs="Arial" w:eastAsia="Arial" w:hAnsi="Arial"/>
          <w:sz w:val="24"/>
          <w:szCs w:val="24"/>
        </w:rPr>
        <w:t xml:space="preserve">(ФИО, номер телефона)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____________________________________________________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электронных деньгах в Кыргызской Республике"</w:t>
      </w:r>
    </w:p>
    <w:p>
      <w:pPr>
        <w:spacing w:after="6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
 на право выпуска электронных денег</w:t>
      </w:r>
    </w:p>
    <w:p>
      <w:pPr>
        <w:spacing w:after="200"/>
        <w:jc w:val="center"/>
      </w:pPr>
      <w:r>
        <w:rPr>
          <w:rFonts w:ascii="Arial" w:cs="Arial" w:eastAsia="Arial" w:hAnsi="Arial"/>
          <w:i/>
          <w:iCs/>
          <w:sz w:val="24"/>
          <w:szCs w:val="24"/>
        </w:rPr>
        <w:t xml:space="preserve">(Утратила силу 
 в соответствии с </w:t>
      </w:r>
      <w:hyperlink w:history="1" r:id="rId5c5mfrwb6yssgd5n_xk9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cfa7a_d0xi30do5fpnf">
      <w:r>
        <w:rPr>
          <w:rFonts w:ascii="Arial" w:cs="Arial" w:eastAsia="Arial" w:hAnsi="Arial"/>
          <w:color w:val="132D3F"/>
          <w:sz w:val="16"/>
          <w:szCs w:val="16"/>
          <w:u w:val="single"/>
        </w:rPr>
        <w:t xml:space="preserve">dalil.kg/document/800046</w:t>
      </w:r>
    </w:hyperlink>
  </w:p>
  <w:p>
    <w:pPr>
      <w:spacing w:after="0" w:before="40"/>
      <w:jc w:val="center"/>
    </w:pPr>
    <w:hyperlink w:history="1" r:id="rIdzkslncxkzr6das80kc1_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dandwhvtysb1kga6q6z" Type="http://schemas.openxmlformats.org/officeDocument/2006/relationships/hyperlink" Target="https://dalil.kg/document/800046" TargetMode="External"/><Relationship Id="rIdrvkrbeemd19pplp7vyhca" Type="http://schemas.openxmlformats.org/officeDocument/2006/relationships/hyperlink" Target="https://dalil.kg/document/800048" TargetMode="External"/><Relationship Id="rIdy4zvhfhreojyewtr5liu4" Type="http://schemas.openxmlformats.org/officeDocument/2006/relationships/hyperlink" Target="https://dalil.kg/document/800044" TargetMode="External"/><Relationship Id="rIdlbifjcrs4dg5khcvcqh-o" Type="http://schemas.openxmlformats.org/officeDocument/2006/relationships/hyperlink" Target="https://dalil.kg/document/800249" TargetMode="External"/><Relationship Id="rIdyptbsd9glcj3yf6ooikgr" Type="http://schemas.openxmlformats.org/officeDocument/2006/relationships/hyperlink" Target="https://dalil.kg/document/800048" TargetMode="External"/><Relationship Id="rIdchcsqpp6baa5gmoiygscw" Type="http://schemas.openxmlformats.org/officeDocument/2006/relationships/hyperlink" Target="https://dalil.kg/document/800048" TargetMode="External"/><Relationship Id="rIdiv3ff6kdrx-_kbsbjb5xw" Type="http://schemas.openxmlformats.org/officeDocument/2006/relationships/hyperlink" Target="https://dalil.kg/document/800048" TargetMode="External"/><Relationship Id="rIdwb1nkav0aiovdkcmvssl3" Type="http://schemas.openxmlformats.org/officeDocument/2006/relationships/hyperlink" Target="https://dalil.kg/document/800048" TargetMode="External"/><Relationship Id="rIdbbvwo5b8zbbvltygmjvf7" Type="http://schemas.openxmlformats.org/officeDocument/2006/relationships/hyperlink" Target="https://dalil.kg/document/800048" TargetMode="External"/><Relationship Id="rIdgugd8qy2izo1ovhh9bf0r" Type="http://schemas.openxmlformats.org/officeDocument/2006/relationships/hyperlink" Target="https://dalil.kg/document/800048" TargetMode="External"/><Relationship Id="rId8uggsva5clbetafxfj4vt" Type="http://schemas.openxmlformats.org/officeDocument/2006/relationships/hyperlink" Target="https://dalil.kg/document/800044" TargetMode="External"/><Relationship Id="rIdx6boidwprkhvu6obmavmf" Type="http://schemas.openxmlformats.org/officeDocument/2006/relationships/hyperlink" Target="https://dalil.kg/document/800249" TargetMode="External"/><Relationship Id="rIdaxvtpfhgas-ytexqv2ckv" Type="http://schemas.openxmlformats.org/officeDocument/2006/relationships/hyperlink" Target="https://dalil.kg/document/205425" TargetMode="External"/><Relationship Id="rIdkg8_ckavg0uefhx7ubwr8" Type="http://schemas.openxmlformats.org/officeDocument/2006/relationships/hyperlink" Target="https://dalil.kg/document/800048" TargetMode="External"/><Relationship Id="rIdz6lhtpm-vzbsquvyex_mz" Type="http://schemas.openxmlformats.org/officeDocument/2006/relationships/hyperlink" Target="https://dalil.kg/document/800249" TargetMode="External"/><Relationship Id="rIdnp2np4jkvaisreogpiev7" Type="http://schemas.openxmlformats.org/officeDocument/2006/relationships/hyperlink" Target="https://dalil.kg/document/800249" TargetMode="External"/><Relationship Id="rIdvcaygohzqs_do5x7u3xho" Type="http://schemas.openxmlformats.org/officeDocument/2006/relationships/hyperlink" Target="https://dalil.kg/document/800044" TargetMode="External"/><Relationship Id="rIdoshrorxat2rgo5vxp0ga4" Type="http://schemas.openxmlformats.org/officeDocument/2006/relationships/hyperlink" Target="https://dalil.kg/document/800044" TargetMode="External"/><Relationship Id="rIdw29witnhpqrqusp2jrefv" Type="http://schemas.openxmlformats.org/officeDocument/2006/relationships/hyperlink" Target="https://dalil.kg/document/800044" TargetMode="External"/><Relationship Id="rIdjs2_g3kqm7fw53y60bcok" Type="http://schemas.openxmlformats.org/officeDocument/2006/relationships/hyperlink" Target="https://dalil.kg/document/800048" TargetMode="External"/><Relationship Id="rIdadi5kcskh96vnf-bsprjz" Type="http://schemas.openxmlformats.org/officeDocument/2006/relationships/hyperlink" Target="https://dalil.kg/document/800048" TargetMode="External"/><Relationship Id="rIdxbqtyrudoe_cxr_ptdipy" Type="http://schemas.openxmlformats.org/officeDocument/2006/relationships/hyperlink" Target="https://dalil.kg/document/800048" TargetMode="External"/><Relationship Id="rIdirmy_phtqiy3cytevkowg" Type="http://schemas.openxmlformats.org/officeDocument/2006/relationships/hyperlink" Target="https://dalil.kg/document/800044" TargetMode="External"/><Relationship Id="rIdgkctojpu0ptgtt_zjli-j" Type="http://schemas.openxmlformats.org/officeDocument/2006/relationships/hyperlink" Target="https://dalil.kg/document/800048" TargetMode="External"/><Relationship Id="rIdapqwgxw_aew43xrpmffwj" Type="http://schemas.openxmlformats.org/officeDocument/2006/relationships/hyperlink" Target="https://dalil.kg/document/800046#p1" TargetMode="External"/><Relationship Id="rId7o75xfdywqdyks1fsic_a" Type="http://schemas.openxmlformats.org/officeDocument/2006/relationships/hyperlink" Target="https://dalil.kg/document/800048" TargetMode="External"/><Relationship Id="rIdyegl6zscy7nwegqtdtmij" Type="http://schemas.openxmlformats.org/officeDocument/2006/relationships/hyperlink" Target="https://dalil.kg/document/800048" TargetMode="External"/><Relationship Id="rIdxwls8onwf154w-b-zg2h5" Type="http://schemas.openxmlformats.org/officeDocument/2006/relationships/hyperlink" Target="https://dalil.kg/document/800048" TargetMode="External"/><Relationship Id="rIdepbcuqp_bzvahu4zrgcsd" Type="http://schemas.openxmlformats.org/officeDocument/2006/relationships/hyperlink" Target="https://dalil.kg/document/800045" TargetMode="External"/><Relationship Id="rIdj93zxscuy5razwwb1eb9n" Type="http://schemas.openxmlformats.org/officeDocument/2006/relationships/hyperlink" Target="https://dalil.kg/document/800048" TargetMode="External"/><Relationship Id="rId_zfesd4uguytum43a0jyo" Type="http://schemas.openxmlformats.org/officeDocument/2006/relationships/hyperlink" Target="https://dalil.kg/document/800048" TargetMode="External"/><Relationship Id="rIdocenzek7frruvog2a3yko" Type="http://schemas.openxmlformats.org/officeDocument/2006/relationships/hyperlink" Target="https://dalil.kg/document/800048" TargetMode="External"/><Relationship Id="rIdo8y61xiej-v8b0jqc_fhn" Type="http://schemas.openxmlformats.org/officeDocument/2006/relationships/hyperlink" Target="https://dalil.kg/document/800048" TargetMode="External"/><Relationship Id="rIdebdwukiq6yy-f7s6_6z9-" Type="http://schemas.openxmlformats.org/officeDocument/2006/relationships/hyperlink" Target="https://dalil.kg/document/800048" TargetMode="External"/><Relationship Id="rIdvnwqv0g_fjqc68usrkpll" Type="http://schemas.openxmlformats.org/officeDocument/2006/relationships/hyperlink" Target="https://dalil.kg/document/800048" TargetMode="External"/><Relationship Id="rIdftipbfeq8uq40u6neuqwx" Type="http://schemas.openxmlformats.org/officeDocument/2006/relationships/hyperlink" Target="https://dalil.kg/document/800048" TargetMode="External"/><Relationship Id="rIdfe2xtc4dfjk4-5evq4xxs" Type="http://schemas.openxmlformats.org/officeDocument/2006/relationships/hyperlink" Target="https://dalil.kg/document/800048" TargetMode="External"/><Relationship Id="rId4vagfgf8li6t_vtdhqdia" Type="http://schemas.openxmlformats.org/officeDocument/2006/relationships/hyperlink" Target="https://dalil.kg/document/800048" TargetMode="External"/><Relationship Id="rIdf6ghu8te8mu3tlbg-x97i" Type="http://schemas.openxmlformats.org/officeDocument/2006/relationships/hyperlink" Target="https://dalil.kg/document/800048" TargetMode="External"/><Relationship Id="rIda8wv9tcwd086mm2zy9fbz" Type="http://schemas.openxmlformats.org/officeDocument/2006/relationships/hyperlink" Target="https://dalil.kg/document/800048" TargetMode="External"/><Relationship Id="rIdkgikdgsrw76hlsakthu6s" Type="http://schemas.openxmlformats.org/officeDocument/2006/relationships/hyperlink" Target="https://dalil.kg/document/800046#p1" TargetMode="External"/><Relationship Id="rIdmrmlvouuvqljh4idkautw" Type="http://schemas.openxmlformats.org/officeDocument/2006/relationships/hyperlink" Target="https://dalil.kg/document/800048" TargetMode="External"/><Relationship Id="rId5c5mfrwb6yssgd5n_xk9h" Type="http://schemas.openxmlformats.org/officeDocument/2006/relationships/hyperlink" Target="https://dalil.kg/document/800048"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cfa7a_d0xi30do5fpnf" Type="http://schemas.openxmlformats.org/officeDocument/2006/relationships/hyperlink" Target="https://dalil.kg/document/800046" TargetMode="External"/><Relationship Id="rIdzkslncxkzr6das80kc1_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2026-09-25T11:54:26.706Z</dcterms:created>
  <dcterms:modified xsi:type="dcterms:W3CDTF">2026-09-25T11:54:26.706Z</dcterms:modified>
</cp:coreProperties>
</file>

<file path=docProps/custom.xml><?xml version="1.0" encoding="utf-8"?>
<Properties xmlns="http://schemas.openxmlformats.org/officeDocument/2006/custom-properties" xmlns:vt="http://schemas.openxmlformats.org/officeDocument/2006/docPropsVTypes"/>
</file>