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w:t>
      </w:r>
    </w:p>
    <w:p>
      <w:pPr>
        <w:spacing w:after="480"/>
        <w:jc w:val="center"/>
      </w:pPr>
      <w:r>
        <w:rPr>
          <w:rFonts w:ascii="Arial" w:cs="Arial" w:eastAsia="Arial" w:hAnsi="Arial"/>
          <w:i/>
          <w:iCs/>
          <w:sz w:val="24"/>
          <w:szCs w:val="24"/>
        </w:rPr>
        <w:t xml:space="preserve">в соответсвии с </w:t>
      </w:r>
      <w:hyperlink w:history="1" r:id="rIdnfdgadis9mznz7crnjh1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Национального Банка</w:t>
      </w:r>
      <w:r>
        <w:rPr>
          <w:rFonts w:ascii="Arial" w:cs="Arial" w:eastAsia="Arial" w:hAnsi="Arial"/>
          <w:i/>
          <w:iCs/>
          <w:sz w:val="24"/>
          <w:szCs w:val="24"/>
        </w:rPr>
        <w:t xml:space="preserve"> КР</w:t>
      </w:r>
    </w:p>
    <w:p>
      <w:pPr>
        <w:spacing w:after="480"/>
        <w:jc w:val="center"/>
      </w:pPr>
      <w:r>
        <w:rPr>
          <w:rFonts w:ascii="Arial" w:cs="Arial" w:eastAsia="Arial" w:hAnsi="Arial"/>
          <w:i/>
          <w:iCs/>
          <w:sz w:val="24"/>
          <w:szCs w:val="24"/>
        </w:rPr>
        <w:t xml:space="preserve">от 2</w:t>
      </w:r>
      <w:r>
        <w:rPr>
          <w:rFonts w:ascii="Arial" w:cs="Arial" w:eastAsia="Arial" w:hAnsi="Arial"/>
          <w:i/>
          <w:iCs/>
          <w:sz w:val="24"/>
          <w:szCs w:val="24"/>
        </w:rPr>
        <w:t xml:space="preserve">0 апреля</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2022-П-14/25-3-(ПС)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200"/>
        <w:jc w:val="both"/>
      </w:pPr>
      <w:r>
        <w:rPr>
          <w:rFonts w:ascii="Arial" w:cs="Arial" w:eastAsia="Arial" w:hAnsi="Arial"/>
          <w:i/>
          <w:iCs/>
          <w:sz w:val="24"/>
          <w:szCs w:val="24"/>
        </w:rPr>
        <w:t xml:space="preserve">от 17 мая 2017 года № 19/1</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43</w:t>
      </w:r>
      <w:r>
        <w:rPr>
          <w:rFonts w:ascii="Arial" w:cs="Arial" w:eastAsia="Arial" w:hAnsi="Arial"/>
          <w:sz w:val="24"/>
          <w:szCs w:val="24"/>
        </w:rPr>
        <w:t xml:space="preserve"> </w:t>
      </w:r>
      <w:hyperlink w:history="1" r:id="rIdr0gnw18owwr8a-dfrq-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kdlfqjrg3wukuwkyx5yvi">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vnb6odozsfrtr14mlvw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tcovwpcddwrqsxaa83k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электронных деньгах в Кыргызской Республике" от 30 марта 2016 года № 15/6 (прилагается).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положений в части признания утратившими силу </w:t>
      </w:r>
      <w:r>
        <w:rPr>
          <w:rFonts w:ascii="Arial" w:cs="Arial" w:eastAsia="Arial" w:hAnsi="Arial"/>
          <w:sz w:val="24"/>
          <w:szCs w:val="24"/>
        </w:rPr>
        <w:t xml:space="preserve">главы 6</w:t>
      </w:r>
      <w:r>
        <w:rPr>
          <w:rFonts w:ascii="Arial" w:cs="Arial" w:eastAsia="Arial" w:hAnsi="Arial"/>
          <w:sz w:val="24"/>
          <w:szCs w:val="24"/>
        </w:rPr>
        <w:t xml:space="preserve"> и </w:t>
      </w:r>
      <w:hyperlink w:history="1" r:id="rIdfv3-k_tcg1xjdng-tgtm3">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Положения "Об электронных деньгах в Кыргызской Республике", которые вступают в силу 22 июня 2017 года.</w:t>
      </w:r>
    </w:p>
    <w:p>
      <w:pPr>
        <w:spacing w:after="60"/>
        <w:ind w:firstLine="567"/>
        <w:jc w:val="both"/>
      </w:pPr>
      <w:r>
        <w:rPr>
          <w:rFonts w:ascii="Arial" w:cs="Arial" w:eastAsia="Arial" w:hAnsi="Arial"/>
          <w:sz w:val="24"/>
          <w:szCs w:val="24"/>
        </w:rPr>
        <w:t xml:space="preserve">4. Отделу развития государственного языка и документооборота довести настоящее постановление до сведения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5. Управлению платежных систем довести настоящее постановление до сведения действующих коммерческих банков, операторов платежных систем Кыргызской Республики и международных систем электронных денег.</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Орозбаеву Л.Дж.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Национального банка Кыргызской Республики
 от 17 мая 2017 года № 19/1</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pPr>
        <w:spacing w:after="60"/>
        <w:ind w:firstLine="567"/>
        <w:jc w:val="both"/>
      </w:pPr>
      <w:r>
        <w:rPr>
          <w:rFonts w:ascii="Arial" w:cs="Arial" w:eastAsia="Arial" w:hAnsi="Arial"/>
          <w:sz w:val="24"/>
          <w:szCs w:val="24"/>
        </w:rPr>
        <w:t xml:space="preserve">Внести в </w:t>
      </w:r>
      <w:hyperlink w:history="1" r:id="rIdg6halt-mmssy3rlwllf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jcofyljotjexggu1n02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электронных деньгах в Кыргызской Республике" от 30 марта 2016 года № 15/6 следующие изменения и дополнения:</w:t>
      </w:r>
    </w:p>
    <w:p>
      <w:pPr>
        <w:spacing w:after="60"/>
        <w:ind w:firstLine="567"/>
        <w:jc w:val="both"/>
      </w:pPr>
      <w:r>
        <w:rPr>
          <w:rFonts w:ascii="Arial" w:cs="Arial" w:eastAsia="Arial" w:hAnsi="Arial"/>
          <w:sz w:val="24"/>
          <w:szCs w:val="24"/>
        </w:rPr>
        <w:t xml:space="preserve">пункт 3-1 изложить в следующей редакции:</w:t>
      </w:r>
    </w:p>
    <w:p>
      <w:pPr>
        <w:spacing w:after="60"/>
        <w:ind w:firstLine="567"/>
        <w:jc w:val="both"/>
      </w:pPr>
      <w:r>
        <w:rPr>
          <w:rFonts w:ascii="Arial" w:cs="Arial" w:eastAsia="Arial" w:hAnsi="Arial"/>
          <w:sz w:val="24"/>
          <w:szCs w:val="24"/>
        </w:rPr>
        <w:t xml:space="preserve">"3-1. Операторы международной системы электронных денег/эмитенты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w:t>
      </w:r>
    </w:p>
    <w:p>
      <w:pPr>
        <w:spacing w:after="60"/>
        <w:ind w:firstLine="567"/>
        <w:jc w:val="both"/>
      </w:pPr>
      <w:r>
        <w:rPr>
          <w:rFonts w:ascii="Arial" w:cs="Arial" w:eastAsia="Arial" w:hAnsi="Arial"/>
          <w:sz w:val="24"/>
          <w:szCs w:val="24"/>
        </w:rPr>
        <w:t xml:space="preserve">в </w:t>
      </w:r>
      <w:hyperlink w:history="1" r:id="rIdwnblmpjkrx-biomy5vyd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электронных деньгах в Кыргызской Республике", утвержденном вышеуказанным </w:t>
      </w:r>
      <w:hyperlink w:history="1" r:id="rId95v_y5hlzswikqpgazr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внести следующие изменения и дополнения:</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пункты 2-5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jibcncuokuvl0kihryan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устанавливает порядок и требования к коммерческим банкам (далее - банк), операторам, агентам, субагентам и операторам международной системы электронных денег/эмитентам международных электронных денег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sz w:val="24"/>
          <w:szCs w:val="24"/>
        </w:rPr>
        <w:t xml:space="preserve">3. Операции с электронными деньгами включают в себя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4. Выпуск электронных денег на территории Кыргызской Республики является лицензируемой деятельностью. Лицензия выдается банку только на выполнение следующих видов операций:</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sz w:val="24"/>
          <w:szCs w:val="24"/>
        </w:rPr>
        <w:t xml:space="preserve">5. Банки, операторы, агенты, субагенты, а также операторы международных систем электронных денег/эмитенты международных электронных денег должны соблюдать и выполнять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"Акцептант электронных денег (акцептант) - юридическое лицо, а также индивидуальный предприниматель,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"Международные электронные деньги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sz w:val="24"/>
          <w:szCs w:val="24"/>
        </w:rPr>
        <w:t xml:space="preserve">абзац двадцать пятый изложить в следующей редакции:</w:t>
      </w:r>
    </w:p>
    <w:p>
      <w:pPr>
        <w:spacing w:after="60"/>
        <w:ind w:firstLine="567"/>
        <w:jc w:val="both"/>
      </w:pPr>
      <w:r>
        <w:rPr>
          <w:rFonts w:ascii="Arial" w:cs="Arial" w:eastAsia="Arial" w:hAnsi="Arial"/>
          <w:sz w:val="24"/>
          <w:szCs w:val="24"/>
        </w:rPr>
        <w:t xml:space="preserve">"Эмитент международных электронных денег - банк или юридическое лицо, нерезидент Кыргызской Республики, осуществляющий/ее деятельность в соответствии с законодательством страны происхождения, который/ое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sz w:val="24"/>
          <w:szCs w:val="24"/>
        </w:rPr>
        <w:t xml:space="preserve">абзац двадцать шестой изложить в следующей редакции:</w:t>
      </w:r>
    </w:p>
    <w:p>
      <w:pPr>
        <w:spacing w:after="60"/>
        <w:ind w:firstLine="567"/>
        <w:jc w:val="both"/>
      </w:pPr>
      <w:r>
        <w:rPr>
          <w:rFonts w:ascii="Arial" w:cs="Arial" w:eastAsia="Arial" w:hAnsi="Arial"/>
          <w:sz w:val="24"/>
          <w:szCs w:val="24"/>
        </w:rPr>
        <w:t xml:space="preserve">"Эмитент электронных денег (эмитент) - Национальный банк Кыргызской Республики (далее - Национальный банк), а также банк, имеющий лицензию на право выпуска электронных денег,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"Неидентифицированный электронный кошелек - электронный кошелек, открываемый физическим лицом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действующий на территории Кыргызской Республики в рамках ограничений, установленных в пункте 31 настоящего Положения.</w:t>
      </w:r>
    </w:p>
    <w:p>
      <w:pPr>
        <w:spacing w:after="60"/>
        <w:ind w:firstLine="567"/>
        <w:jc w:val="both"/>
      </w:pPr>
      <w:r>
        <w:rPr>
          <w:rFonts w:ascii="Arial" w:cs="Arial" w:eastAsia="Arial" w:hAnsi="Arial"/>
          <w:sz w:val="24"/>
          <w:szCs w:val="24"/>
        </w:rPr>
        <w:t xml:space="preserve">Оператор международной системы электронных денег - юридическое лицо, осуществляющее деятельность в рамках законодательства страны происхождения,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в соответствии с </w:t>
      </w:r>
      <w:hyperlink w:history="1" r:id="rIdbpqshyquimwm9bp6857j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и </w:t>
      </w:r>
      <w:r>
        <w:rPr>
          <w:rFonts w:ascii="Arial" w:cs="Arial" w:eastAsia="Arial" w:hAnsi="Arial"/>
          <w:sz w:val="24"/>
          <w:szCs w:val="24"/>
        </w:rPr>
        <w:t xml:space="preserve">параграфа 5</w:t>
      </w:r>
      <w:r>
        <w:rPr>
          <w:rFonts w:ascii="Arial" w:cs="Arial" w:eastAsia="Arial" w:hAnsi="Arial"/>
          <w:sz w:val="24"/>
          <w:szCs w:val="24"/>
        </w:rPr>
        <w:t xml:space="preserve"> Главы 3 настоящего Положения.";</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дополнить пунктами 22-1 и 22-2 следующего содержания:</w:t>
      </w:r>
    </w:p>
    <w:p>
      <w:pPr>
        <w:spacing w:after="60"/>
        <w:ind w:firstLine="567"/>
        <w:jc w:val="both"/>
      </w:pPr>
      <w:r>
        <w:rPr>
          <w:rFonts w:ascii="Arial" w:cs="Arial" w:eastAsia="Arial" w:hAnsi="Arial"/>
          <w:sz w:val="24"/>
          <w:szCs w:val="24"/>
        </w:rPr>
        <w:t xml:space="preserve">"22-1. Банку запрещается начисление и выплата процентов на остаток электронных денег на неидентифицированные электронные кошельки.</w:t>
      </w:r>
    </w:p>
    <w:p>
      <w:pPr>
        <w:spacing w:after="60"/>
        <w:ind w:firstLine="567"/>
        <w:jc w:val="both"/>
      </w:pPr>
      <w:r>
        <w:rPr>
          <w:rFonts w:ascii="Arial" w:cs="Arial" w:eastAsia="Arial" w:hAnsi="Arial"/>
          <w:sz w:val="24"/>
          <w:szCs w:val="24"/>
        </w:rPr>
        <w:t xml:space="preserve">22-2.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пользователями электронных кошельков.";</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Общий объем транзакций в месяц с неидентифицированных электронных кошельков не должен превышать 300 (триста) расчетных показателей по одному электронному кошельку.</w:t>
      </w:r>
    </w:p>
    <w:p>
      <w:pPr>
        <w:spacing w:after="60"/>
        <w:ind w:firstLine="567"/>
        <w:jc w:val="both"/>
      </w:pPr>
      <w:r>
        <w:rPr>
          <w:rFonts w:ascii="Arial" w:cs="Arial" w:eastAsia="Arial" w:hAnsi="Arial"/>
          <w:sz w:val="24"/>
          <w:szCs w:val="24"/>
        </w:rPr>
        <w:t xml:space="preserve">Для проведения операций свыше суммы, указанной в абзаце первом настоящего пункта, держатели кошелька должны пройти идентификацию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63 слово "Банк" заменить словами "Банк/оператор" в соответствующих падежных формах;</w:t>
      </w:r>
    </w:p>
    <w:p>
      <w:pPr>
        <w:spacing w:after="60"/>
        <w:ind w:firstLine="567"/>
        <w:jc w:val="both"/>
      </w:pPr>
      <w:r>
        <w:rPr>
          <w:rFonts w:ascii="Arial" w:cs="Arial" w:eastAsia="Arial" w:hAnsi="Arial"/>
          <w:sz w:val="24"/>
          <w:szCs w:val="24"/>
        </w:rPr>
        <w:t xml:space="preserve">- в пункте 64 слово "Банк" заменить словами "Банк/оператор";</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4</w:t>
      </w:r>
      <w:r>
        <w:rPr>
          <w:rFonts w:ascii="Arial" w:cs="Arial" w:eastAsia="Arial" w:hAnsi="Arial"/>
          <w:sz w:val="24"/>
          <w:szCs w:val="24"/>
        </w:rPr>
        <w:t xml:space="preserve">. Требования к агенту международных систем электронных денег и оператору международных систем электронных денег/эмитенту международных электронных денег";</w:t>
      </w:r>
    </w:p>
    <w:p>
      <w:pPr>
        <w:spacing w:after="60"/>
        <w:ind w:firstLine="567"/>
        <w:jc w:val="both"/>
      </w:pPr>
      <w:r>
        <w:rPr>
          <w:rFonts w:ascii="Arial" w:cs="Arial" w:eastAsia="Arial" w:hAnsi="Arial"/>
          <w:sz w:val="24"/>
          <w:szCs w:val="24"/>
        </w:rPr>
        <w:t xml:space="preserve">- в пунктах 69, 72, 75 и 76 слова "международная система электронных денег/эмитент международной системы электронных денег" заменить словами "оператор международной системы электронных денег/эмитент международных электронных денег" в соответствующих падежных формах;</w:t>
      </w:r>
    </w:p>
    <w:p>
      <w:pPr>
        <w:spacing w:after="60"/>
        <w:ind w:firstLine="567"/>
        <w:jc w:val="both"/>
      </w:pPr>
      <w:r>
        <w:rPr>
          <w:rFonts w:ascii="Arial" w:cs="Arial" w:eastAsia="Arial" w:hAnsi="Arial"/>
          <w:sz w:val="24"/>
          <w:szCs w:val="24"/>
        </w:rPr>
        <w:t xml:space="preserve">- пункт 70 изложить в следующей редакции:</w:t>
      </w:r>
    </w:p>
    <w:p>
      <w:pPr>
        <w:spacing w:after="60"/>
        <w:ind w:firstLine="567"/>
        <w:jc w:val="both"/>
      </w:pPr>
      <w:r>
        <w:rPr>
          <w:rFonts w:ascii="Arial" w:cs="Arial" w:eastAsia="Arial" w:hAnsi="Arial"/>
          <w:sz w:val="24"/>
          <w:szCs w:val="24"/>
        </w:rPr>
        <w:t xml:space="preserve">"70. Для прохождения регистрации оператор международной системы электронных денег/эмитент международной системы электронных денег направляет в Национальный банк заявление о регистрации и предоставляет пакет документов, включающих следующее:</w:t>
      </w:r>
    </w:p>
    <w:p>
      <w:pPr>
        <w:spacing w:after="60"/>
        <w:ind w:firstLine="567"/>
        <w:jc w:val="both"/>
      </w:pPr>
      <w:r>
        <w:rPr>
          <w:rFonts w:ascii="Arial" w:cs="Arial" w:eastAsia="Arial" w:hAnsi="Arial"/>
          <w:sz w:val="24"/>
          <w:szCs w:val="24"/>
        </w:rPr>
        <w:t xml:space="preserve">- наименование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копии разрешительных документов оператора международной системы электронных денег/эмитента международных электронных денег, лицензии/сертификата/свидетельства о регистрации на право осуществления деятельности оператора/эмитента электронных денег/электронных денежных средств, по процессингу и обслуживанию, выданных уполномоченным органом страны происхождения, регулирующим указанную деятельность;</w:t>
      </w:r>
    </w:p>
    <w:p>
      <w:pPr>
        <w:spacing w:after="60"/>
        <w:ind w:firstLine="567"/>
        <w:jc w:val="both"/>
      </w:pPr>
      <w:r>
        <w:rPr>
          <w:rFonts w:ascii="Arial" w:cs="Arial" w:eastAsia="Arial" w:hAnsi="Arial"/>
          <w:sz w:val="24"/>
          <w:szCs w:val="24"/>
        </w:rPr>
        <w:t xml:space="preserve">-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пункты 73 и 74 изложить в следующей редакции:</w:t>
      </w:r>
    </w:p>
    <w:p>
      <w:pPr>
        <w:spacing w:after="60"/>
        <w:ind w:firstLine="567"/>
        <w:jc w:val="both"/>
      </w:pPr>
      <w:r>
        <w:rPr>
          <w:rFonts w:ascii="Arial" w:cs="Arial" w:eastAsia="Arial" w:hAnsi="Arial"/>
          <w:sz w:val="24"/>
          <w:szCs w:val="24"/>
        </w:rPr>
        <w:t xml:space="preserve">"73. В случае принятия решения о регистрации Национальный банк присваивает оператору международной системы электронных денег/эмитенту международной системы электронных денег регистрационный номер и включает информацию в реестр международных платежных систем на территории Кыргызской Республики и в срок не позднее 7 календарных дней с даты принятия решения направляет оператору международной системы электронных денег/эмитенту международных электронных денег письмо о прохождении регистрации.</w:t>
      </w:r>
    </w:p>
    <w:p>
      <w:pPr>
        <w:spacing w:after="60"/>
        <w:ind w:firstLine="567"/>
        <w:jc w:val="both"/>
      </w:pPr>
      <w:r>
        <w:rPr>
          <w:rFonts w:ascii="Arial" w:cs="Arial" w:eastAsia="Arial" w:hAnsi="Arial"/>
          <w:sz w:val="24"/>
          <w:szCs w:val="24"/>
        </w:rPr>
        <w:t xml:space="preserve">74. Оператор международной системы электронных денег/эмитент международных электронных денег обязан уведомить в письменной форме Национальный банк об изменении любых сведений, указанных при регистрации в течение трех рабочих дней с момента наступления изменений. Национальный банк на основании предоставленной информации в течение трех рабочих дней вносит изменения в реестр международных платежных систем.";</w:t>
      </w:r>
    </w:p>
    <w:p>
      <w:pPr>
        <w:spacing w:after="60"/>
        <w:ind w:firstLine="567"/>
        <w:jc w:val="both"/>
      </w:pPr>
      <w:r>
        <w:rPr>
          <w:rFonts w:ascii="Arial" w:cs="Arial" w:eastAsia="Arial" w:hAnsi="Arial"/>
          <w:sz w:val="24"/>
          <w:szCs w:val="24"/>
        </w:rPr>
        <w:t xml:space="preserve">- дополнить пунктом 76-1 следующего содержания:</w:t>
      </w:r>
    </w:p>
    <w:p>
      <w:pPr>
        <w:spacing w:after="60"/>
        <w:ind w:firstLine="567"/>
        <w:jc w:val="both"/>
      </w:pPr>
      <w:r>
        <w:rPr>
          <w:rFonts w:ascii="Arial" w:cs="Arial" w:eastAsia="Arial" w:hAnsi="Arial"/>
          <w:sz w:val="24"/>
          <w:szCs w:val="24"/>
        </w:rPr>
        <w:t xml:space="preserve">"76-1. Оператор международной системы электронных денег/эмитент международных электронных денег не позднее 6 (шести) месяцев со дня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sz w:val="24"/>
          <w:szCs w:val="24"/>
        </w:rPr>
        <w:t xml:space="preserve">- пункт 77 изложить в следующей редакции:</w:t>
      </w:r>
    </w:p>
    <w:p>
      <w:pPr>
        <w:spacing w:after="60"/>
        <w:ind w:firstLine="567"/>
        <w:jc w:val="both"/>
      </w:pPr>
      <w:r>
        <w:rPr>
          <w:rFonts w:ascii="Arial" w:cs="Arial" w:eastAsia="Arial" w:hAnsi="Arial"/>
          <w:sz w:val="24"/>
          <w:szCs w:val="24"/>
        </w:rPr>
        <w:t xml:space="preserve">"77.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международной системы электронных денег";</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Агент международной системы электронных денег может предоставлять услуги по погашению и пополнению международных электронных денег, а также заключать договоры с акцептантами для приема международных электронных денег для оплаты товаров или услуг.";</w:t>
      </w:r>
    </w:p>
    <w:p>
      <w:pPr>
        <w:spacing w:after="60"/>
        <w:ind w:firstLine="567"/>
        <w:jc w:val="both"/>
      </w:pPr>
      <w:r>
        <w:rPr>
          <w:rFonts w:ascii="Arial" w:cs="Arial" w:eastAsia="Arial" w:hAnsi="Arial"/>
          <w:sz w:val="24"/>
          <w:szCs w:val="24"/>
        </w:rPr>
        <w:t xml:space="preserve">- второе предложение пункта 81 изложить в следующей редакции:</w:t>
      </w:r>
    </w:p>
    <w:p>
      <w:pPr>
        <w:spacing w:after="60"/>
        <w:ind w:firstLine="567"/>
        <w:jc w:val="both"/>
      </w:pPr>
      <w:r>
        <w:rPr>
          <w:rFonts w:ascii="Arial" w:cs="Arial" w:eastAsia="Arial" w:hAnsi="Arial"/>
          <w:sz w:val="24"/>
          <w:szCs w:val="24"/>
        </w:rPr>
        <w:t xml:space="preserve">"При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сайте Национального банка.";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6</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 </w:t>
      </w:r>
      <w:hyperlink w:history="1" r:id="rIdplkqgyzyw_m5c2sbnk1o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hpnho-6idbm0hhodkbc">
      <w:r>
        <w:rPr>
          <w:rFonts w:ascii="Arial" w:cs="Arial" w:eastAsia="Arial" w:hAnsi="Arial"/>
          <w:color w:val="132D3F"/>
          <w:sz w:val="16"/>
          <w:szCs w:val="16"/>
          <w:u w:val="single"/>
        </w:rPr>
        <w:t xml:space="preserve">dalil.kg/document/800048</w:t>
      </w:r>
    </w:hyperlink>
  </w:p>
  <w:p>
    <w:pPr>
      <w:spacing w:after="0" w:before="40"/>
      <w:jc w:val="center"/>
    </w:pPr>
    <w:hyperlink w:history="1" r:id="rIdy0crzbdd-m_qy-ji6jy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dgadis9mznz7crnjh1b" Type="http://schemas.openxmlformats.org/officeDocument/2006/relationships/hyperlink" Target="https://dalil.kg/document/800836" TargetMode="External"/><Relationship Id="rIdr0gnw18owwr8a-dfrq-8i" Type="http://schemas.openxmlformats.org/officeDocument/2006/relationships/hyperlink" Target="https://dalil.kg/document/559" TargetMode="External"/><Relationship Id="rIdkdlfqjrg3wukuwkyx5yvi" Type="http://schemas.openxmlformats.org/officeDocument/2006/relationships/hyperlink" Target="https://dalil.kg/document/800048#p1" TargetMode="External"/><Relationship Id="rIdvnb6odozsfrtr14mlvw5k" Type="http://schemas.openxmlformats.org/officeDocument/2006/relationships/hyperlink" Target="https://dalil.kg/document/800045" TargetMode="External"/><Relationship Id="rIdatcovwpcddwrqsxaa83kc" Type="http://schemas.openxmlformats.org/officeDocument/2006/relationships/hyperlink" Target="https://dalil.kg/document/800046" TargetMode="External"/><Relationship Id="rIdfv3-k_tcg1xjdng-tgtm3" Type="http://schemas.openxmlformats.org/officeDocument/2006/relationships/hyperlink" Target="https://dalil.kg/document/800045#p2" TargetMode="External"/><Relationship Id="rIdg6halt-mmssy3rlwllf9j" Type="http://schemas.openxmlformats.org/officeDocument/2006/relationships/hyperlink" Target="https://dalil.kg/document/800045" TargetMode="External"/><Relationship Id="rIdwjcofyljotjexggu1n02l" Type="http://schemas.openxmlformats.org/officeDocument/2006/relationships/hyperlink" Target="https://dalil.kg/document/800046" TargetMode="External"/><Relationship Id="rIdwnblmpjkrx-biomy5vyd3" Type="http://schemas.openxmlformats.org/officeDocument/2006/relationships/hyperlink" Target="https://dalil.kg/document/800046" TargetMode="External"/><Relationship Id="rId95v_y5hlzswikqpgazrvc" Type="http://schemas.openxmlformats.org/officeDocument/2006/relationships/hyperlink" Target="https://dalil.kg/document/800045" TargetMode="External"/><Relationship Id="rIdjibcncuokuvl0kihryan7" Type="http://schemas.openxmlformats.org/officeDocument/2006/relationships/hyperlink" Target="https://dalil.kg/document/800046" TargetMode="External"/><Relationship Id="rIdbpqshyquimwm9bp6857jn" Type="http://schemas.openxmlformats.org/officeDocument/2006/relationships/hyperlink" Target="https://dalil.kg/document/205425" TargetMode="External"/><Relationship Id="rIdplkqgyzyw_m5c2sbnk1oa" Type="http://schemas.openxmlformats.org/officeDocument/2006/relationships/hyperlink" Target="https://dalil.kg/document/800045#p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hpnho-6idbm0hhodkbc" Type="http://schemas.openxmlformats.org/officeDocument/2006/relationships/hyperlink" Target="https://dalil.kg/document/800048" TargetMode="External"/><Relationship Id="rIdy0crzbdd-m_qy-ji6jy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2026-09-25T11:54:36.210Z</dcterms:created>
  <dcterms:modified xsi:type="dcterms:W3CDTF">2026-09-25T11:54:36.210Z</dcterms:modified>
</cp:coreProperties>
</file>

<file path=docProps/custom.xml><?xml version="1.0" encoding="utf-8"?>
<Properties xmlns="http://schemas.openxmlformats.org/officeDocument/2006/custom-properties" xmlns:vt="http://schemas.openxmlformats.org/officeDocument/2006/docPropsVTypes"/>
</file>