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40"/>
        <w:jc w:val="both"/>
      </w:pPr>
      <w:r>
        <w:rPr>
          <w:rFonts w:ascii="Arial" w:cs="Arial" w:eastAsia="Arial" w:hAnsi="Arial"/>
          <w:sz w:val="24"/>
          <w:szCs w:val="24"/>
        </w:rPr>
        <w:t xml:space="preserve">от 26 февраля 2020 года № 2020-П-12/8-8-(НПА)</w:t>
      </w:r>
    </w:p>
    <w:p>
      <w:pPr>
        <w:spacing w:after="48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 по вопросам комиссионных и иных платежей</w:t>
      </w:r>
    </w:p>
    <w:p>
      <w:pPr>
        <w:spacing w:after="120"/>
        <w:ind w:firstLine="397"/>
        <w:jc w:val="both"/>
      </w:pPr>
      <w:r>
        <w:rPr>
          <w:rFonts w:ascii="Arial" w:cs="Arial" w:eastAsia="Arial" w:hAnsi="Arial"/>
          <w:sz w:val="24"/>
          <w:szCs w:val="24"/>
        </w:rPr>
        <w:t xml:space="preserve">В соответствии со статьями </w:t>
      </w:r>
      <w:hyperlink w:history="1" r:id="rId6xzfuvvejsoj2f3j9sxo9">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mzscrqw0qxsjiviakuxhh">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ind w:firstLine="397"/>
        <w:jc w:val="both"/>
      </w:pPr>
      <w:r>
        <w:rPr>
          <w:rFonts w:ascii="Arial" w:cs="Arial" w:eastAsia="Arial" w:hAnsi="Arial"/>
          <w:sz w:val="24"/>
          <w:szCs w:val="24"/>
        </w:rPr>
        <w:t xml:space="preserve">1. Внести </w:t>
      </w:r>
      <w:hyperlink w:history="1" r:id="rIde6a0ltoudz5h7v9xxasao">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ind w:firstLine="39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az6-ojyw2amnho_d4pftn">
        <w:r>
          <w:rPr>
            <w:rFonts w:ascii="Arial" w:cs="Arial" w:eastAsia="Arial" w:hAnsi="Arial"/>
            <w:color w:val="1D4ED8"/>
            <w:sz w:val="24"/>
            <w:szCs w:val="24"/>
            <w:u w:val="single"/>
          </w:rPr>
          <w:t xml:space="preserve">30 июня 2010 года № 52/4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 утверждении </w:t>
      </w:r>
      <w:hyperlink w:history="1" r:id="rIdwbkgjswvgk4tjxf1ixt7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политике ценообразования банковских, платежных услуг и услуг, оказываемых микрофинансовыми организациями" от </w:t>
      </w:r>
      <w:hyperlink w:history="1" r:id="rIdqxao0og6edmgsz4ylsn8y">
        <w:r>
          <w:rPr>
            <w:rFonts w:ascii="Arial" w:cs="Arial" w:eastAsia="Arial" w:hAnsi="Arial"/>
            <w:color w:val="1D4ED8"/>
            <w:sz w:val="24"/>
            <w:szCs w:val="24"/>
            <w:u w:val="single"/>
          </w:rPr>
          <w:t xml:space="preserve">14 июня 2013 года № 19/2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 утверждении </w:t>
      </w:r>
      <w:hyperlink w:history="1" r:id="rIdzvgolevzjc5vcutt-fcb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от </w:t>
      </w:r>
      <w:hyperlink w:history="1" r:id="rIdoyzdomvzqbhin_6knxptv">
        <w:r>
          <w:rPr>
            <w:rFonts w:ascii="Arial" w:cs="Arial" w:eastAsia="Arial" w:hAnsi="Arial"/>
            <w:color w:val="1D4ED8"/>
            <w:sz w:val="24"/>
            <w:szCs w:val="24"/>
            <w:u w:val="single"/>
          </w:rPr>
          <w:t xml:space="preserve">24 июня 2015 года № 35/10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 </w:t>
      </w:r>
      <w:hyperlink w:history="1" r:id="rIdtxyio9thwxzcwtbneshv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w:t>
      </w:r>
      <w:hyperlink w:history="1" r:id="rId-hh7sgemvjqhg68uwgx5u">
        <w:r>
          <w:rPr>
            <w:rFonts w:ascii="Arial" w:cs="Arial" w:eastAsia="Arial" w:hAnsi="Arial"/>
            <w:color w:val="1D4ED8"/>
            <w:sz w:val="24"/>
            <w:szCs w:val="24"/>
            <w:u w:val="single"/>
          </w:rPr>
          <w:t xml:space="preserve">15 июня 2017 года № 2017-П-12/25-4-(НПА</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его официального опубликования.</w:t>
      </w:r>
    </w:p>
    <w:p>
      <w:pPr>
        <w:spacing w:after="120"/>
        <w:ind w:firstLine="397"/>
        <w:jc w:val="both"/>
      </w:pPr>
      <w:r>
        <w:rPr>
          <w:rFonts w:ascii="Arial" w:cs="Arial" w:eastAsia="Arial" w:hAnsi="Arial"/>
          <w:sz w:val="24"/>
          <w:szCs w:val="24"/>
        </w:rPr>
        <w:t xml:space="preserve">3. Юридическому управлению:</w:t>
      </w:r>
    </w:p>
    <w:p>
      <w:pPr>
        <w:spacing w:after="120"/>
        <w:ind w:firstLine="39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ind w:firstLine="39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организаций, ОАО "Финансовая компания кредитных союзов", ОЮЛ "Ассоциация операторов платежных систем", соответствующих структурных подразделений, областных управлений, представительства Национального банка в Баткенской области.</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26 февраля 2020 года № 2020-П-12/8-8-(НПА)</w:t>
      </w:r>
    </w:p>
    <w:p>
      <w:pPr>
        <w:spacing w:after="400" w:before="400"/>
        <w:jc w:val="center"/>
      </w:pPr>
      <w:r>
        <w:rPr>
          <w:rFonts w:ascii="Arial" w:cs="Arial" w:eastAsia="Arial" w:hAnsi="Arial"/>
          <w:b/>
          <w:bCs/>
          <w:sz w:val="24"/>
          <w:szCs w:val="24"/>
        </w:rPr>
        <w:t xml:space="preserve">Изменения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 по вопросам комиссионных и иных платежей</w:t>
      </w:r>
    </w:p>
    <w:p>
      <w:pPr>
        <w:spacing w:after="60"/>
        <w:ind w:firstLine="567"/>
        <w:jc w:val="both"/>
      </w:pPr>
      <w:r>
        <w:rPr>
          <w:rFonts w:ascii="Arial" w:cs="Arial" w:eastAsia="Arial" w:hAnsi="Arial"/>
          <w:sz w:val="24"/>
          <w:szCs w:val="24"/>
        </w:rPr>
        <w:t xml:space="preserve">1. Внести в </w:t>
      </w:r>
      <w:hyperlink w:history="1" r:id="rIdmpmhpyonklej_jexm96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w:t>
      </w:r>
    </w:p>
    <w:p>
      <w:pPr>
        <w:spacing w:after="60"/>
        <w:ind w:firstLine="567"/>
        <w:jc w:val="both"/>
      </w:pPr>
      <w:r>
        <w:rPr>
          <w:rFonts w:ascii="Arial" w:cs="Arial" w:eastAsia="Arial" w:hAnsi="Arial"/>
          <w:sz w:val="24"/>
          <w:szCs w:val="24"/>
        </w:rPr>
        <w:t xml:space="preserve">в </w:t>
      </w:r>
      <w:hyperlink w:history="1" r:id="rIdpm2sdxfznuejkf3u19ty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w:history="1" r:id="rIdtg1sbupw21mbhhbcdprw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право клиента на безвозмездной основе отказаться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w:t>
      </w:r>
    </w:p>
    <w:p>
      <w:pPr>
        <w:spacing w:after="60"/>
        <w:ind w:firstLine="567"/>
        <w:jc w:val="both"/>
      </w:pPr>
      <w:r>
        <w:rPr>
          <w:rFonts w:ascii="Arial" w:cs="Arial" w:eastAsia="Arial" w:hAnsi="Arial"/>
          <w:sz w:val="24"/>
          <w:szCs w:val="24"/>
        </w:rPr>
        <w:t xml:space="preserve">В указанном случае банк вправе взимать с клиента комиссию по установленному тарифу за рассмотрение заявки.";</w:t>
      </w:r>
    </w:p>
    <w:p>
      <w:pPr>
        <w:spacing w:after="60"/>
        <w:ind w:firstLine="567"/>
        <w:jc w:val="both"/>
      </w:pPr>
      <w:r>
        <w:rPr>
          <w:rFonts w:ascii="Arial" w:cs="Arial" w:eastAsia="Arial" w:hAnsi="Arial"/>
          <w:sz w:val="24"/>
          <w:szCs w:val="24"/>
        </w:rPr>
        <w:t xml:space="preserve">абзац пятый после слов "документами банка" дополнить словами ", без уплаты комиссионных и иных платежей.";</w:t>
      </w:r>
    </w:p>
    <w:p>
      <w:pPr>
        <w:spacing w:after="60"/>
        <w:ind w:firstLine="567"/>
        <w:jc w:val="both"/>
      </w:pPr>
      <w:r>
        <w:rPr>
          <w:rFonts w:ascii="Arial" w:cs="Arial" w:eastAsia="Arial" w:hAnsi="Arial"/>
          <w:sz w:val="24"/>
          <w:szCs w:val="24"/>
        </w:rPr>
        <w:t xml:space="preserve">дополнить абзацами шестым-десятым следующего содержания:</w:t>
      </w:r>
    </w:p>
    <w:p>
      <w:pPr>
        <w:spacing w:after="60"/>
        <w:ind w:firstLine="567"/>
        <w:jc w:val="both"/>
      </w:pPr>
      <w:r>
        <w:rPr>
          <w:rFonts w:ascii="Arial" w:cs="Arial" w:eastAsia="Arial" w:hAnsi="Arial"/>
          <w:sz w:val="24"/>
          <w:szCs w:val="24"/>
        </w:rPr>
        <w:t xml:space="preserve">"При заключении кредитного договора с клиентом - физическим лицом, в том числе с индивидуальным предпринимателем, банк предоставляет указанным клиентам право выбора следующих способов получения кредита:</w:t>
      </w:r>
    </w:p>
    <w:p>
      <w:pPr>
        <w:spacing w:after="60"/>
        <w:ind w:firstLine="567"/>
        <w:jc w:val="both"/>
      </w:pPr>
      <w:r>
        <w:rPr>
          <w:rFonts w:ascii="Arial" w:cs="Arial" w:eastAsia="Arial" w:hAnsi="Arial"/>
          <w:sz w:val="24"/>
          <w:szCs w:val="24"/>
        </w:rPr>
        <w:t xml:space="preserve">- получение кредитных средств в наличной форме без уплаты комиссионных и иных платежей за обналичивание;</w:t>
      </w:r>
    </w:p>
    <w:p>
      <w:pPr>
        <w:spacing w:after="60"/>
        <w:ind w:firstLine="567"/>
        <w:jc w:val="both"/>
      </w:pPr>
      <w:r>
        <w:rPr>
          <w:rFonts w:ascii="Arial" w:cs="Arial" w:eastAsia="Arial" w:hAnsi="Arial"/>
          <w:sz w:val="24"/>
          <w:szCs w:val="24"/>
        </w:rPr>
        <w:t xml:space="preserve">- получение кредитных средств с расчетного (текущего) счета/счета по банковским вкладам (депозитам)/до востребования, условия обслуживания которого определяются в соответствующем договоре.</w:t>
      </w:r>
    </w:p>
    <w:p>
      <w:pPr>
        <w:spacing w:after="60"/>
        <w:ind w:firstLine="567"/>
        <w:jc w:val="both"/>
      </w:pPr>
      <w:r>
        <w:rPr>
          <w:rFonts w:ascii="Arial" w:cs="Arial" w:eastAsia="Arial" w:hAnsi="Arial"/>
          <w:sz w:val="24"/>
          <w:szCs w:val="24"/>
        </w:rPr>
        <w:t xml:space="preserve">При этом клиенты - физические лица, в том числе индивидуальные предприниматели вправе осуществлять погашение кредита как в наличной, так и в безналичной формах.</w:t>
      </w:r>
    </w:p>
    <w:p>
      <w:pPr>
        <w:spacing w:after="60"/>
        <w:ind w:firstLine="567"/>
        <w:jc w:val="both"/>
      </w:pPr>
      <w:r>
        <w:rPr>
          <w:rFonts w:ascii="Arial" w:cs="Arial" w:eastAsia="Arial" w:hAnsi="Arial"/>
          <w:sz w:val="24"/>
          <w:szCs w:val="24"/>
        </w:rPr>
        <w:t xml:space="preserve">Право получения кредитных средств без уплаты комиссионных и иных платежей за обналичивание денежных средств предоставляется банком при выдаче ипотечных кредитов, а также кредитов в рамках государственных/правительственных и социальных программ, направленных на развитие экономики клиентам - физическим лицам, в том числе индивидуальным предпринимателям.";</w:t>
      </w:r>
    </w:p>
    <w:p>
      <w:pPr>
        <w:spacing w:after="60"/>
        <w:ind w:firstLine="567"/>
        <w:jc w:val="both"/>
      </w:pPr>
      <w:r>
        <w:rPr>
          <w:rFonts w:ascii="Arial" w:cs="Arial" w:eastAsia="Arial" w:hAnsi="Arial"/>
          <w:sz w:val="24"/>
          <w:szCs w:val="24"/>
        </w:rPr>
        <w:t xml:space="preserve">- абзац двадцать первый подпункта 4 пункта 30 изложить в следующей редакции:</w:t>
      </w:r>
    </w:p>
    <w:p>
      <w:pPr>
        <w:spacing w:after="60"/>
        <w:ind w:firstLine="567"/>
        <w:jc w:val="both"/>
      </w:pPr>
      <w:r>
        <w:rPr>
          <w:rFonts w:ascii="Arial" w:cs="Arial" w:eastAsia="Arial" w:hAnsi="Arial"/>
          <w:sz w:val="24"/>
          <w:szCs w:val="24"/>
        </w:rPr>
        <w:t xml:space="preserve">"- банк должен убедиться в наличии обеспечения, предоставляемого заемщиком. Следует 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Примечание: Исключением из данного подпункта являются случаи, когда невозможен визуальный осмотр и оценка обеспечения в виде крупного и мелкого рогатого скота в связи с их сезонным выпасом в отдаленных и труднодоступных местностях. В таких случаях банк удостоверяется о наличии у заемщика скота путем проверки площади хлева, кошары, наличия запасов корма, договоров аренды пастбища и т.п. Дополнительно клиенту необходимо предоставить справку из айыл окмоту о наличии скота, а также другие документы, свидетельствующие о наличии скота, если имеются.";</w:t>
      </w:r>
    </w:p>
    <w:p>
      <w:pPr>
        <w:spacing w:after="60"/>
        <w:ind w:firstLine="567"/>
        <w:jc w:val="both"/>
      </w:pPr>
      <w:r>
        <w:rPr>
          <w:rFonts w:ascii="Arial" w:cs="Arial" w:eastAsia="Arial" w:hAnsi="Arial"/>
          <w:sz w:val="24"/>
          <w:szCs w:val="24"/>
        </w:rPr>
        <w:t xml:space="preserve">- абзац седьмой пункта 41 после слов "30 (тридцать)" дополнить словом "календарных";</w:t>
      </w:r>
    </w:p>
    <w:p>
      <w:pPr>
        <w:spacing w:after="60"/>
        <w:ind w:firstLine="567"/>
        <w:jc w:val="both"/>
      </w:pPr>
      <w:r>
        <w:rPr>
          <w:rFonts w:ascii="Arial" w:cs="Arial" w:eastAsia="Arial" w:hAnsi="Arial"/>
          <w:sz w:val="24"/>
          <w:szCs w:val="24"/>
        </w:rPr>
        <w:t xml:space="preserve">- пункт 42 изложить в следующей редакции:</w:t>
      </w:r>
    </w:p>
    <w:p>
      <w:pPr>
        <w:spacing w:after="60"/>
        <w:ind w:firstLine="567"/>
        <w:jc w:val="both"/>
      </w:pPr>
      <w:r>
        <w:rPr>
          <w:rFonts w:ascii="Arial" w:cs="Arial" w:eastAsia="Arial" w:hAnsi="Arial"/>
          <w:sz w:val="24"/>
          <w:szCs w:val="24"/>
        </w:rPr>
        <w:t xml:space="preserve">"42. Услуга, за которую банк взимает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кредита;</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Не допускается взимание банком процентов и комиссий за одну и ту же операцию.</w:t>
      </w:r>
    </w:p>
    <w:p>
      <w:pPr>
        <w:spacing w:after="60"/>
        <w:ind w:firstLine="567"/>
        <w:jc w:val="both"/>
      </w:pPr>
      <w:r>
        <w:rPr>
          <w:rFonts w:ascii="Arial" w:cs="Arial" w:eastAsia="Arial" w:hAnsi="Arial"/>
          <w:sz w:val="24"/>
          <w:szCs w:val="24"/>
        </w:rPr>
        <w:t xml:space="preserve">Неустойка (штраф/пеня) и другие штрафные санкции взимаются банком с клиента только за неисполнение/ненадлежащее исполнение клиентом своих обязательств по кредитному договору и/или иных соглашений.</w:t>
      </w:r>
    </w:p>
    <w:p>
      <w:pPr>
        <w:spacing w:after="60"/>
        <w:ind w:firstLine="567"/>
        <w:jc w:val="both"/>
      </w:pPr>
      <w:r>
        <w:rPr>
          <w:rFonts w:ascii="Arial" w:cs="Arial" w:eastAsia="Arial" w:hAnsi="Arial"/>
          <w:sz w:val="24"/>
          <w:szCs w:val="24"/>
        </w:rPr>
        <w:t xml:space="preserve">Неотъемлемой частью кредитного договора между банком и заемщиком является перечень расходов (платежей) клиентов банка и штрафных санкций, который составляется в табличной форме в соответствии с </w:t>
      </w:r>
      <w:r>
        <w:rPr>
          <w:rFonts w:ascii="Arial" w:cs="Arial" w:eastAsia="Arial" w:hAnsi="Arial"/>
          <w:sz w:val="24"/>
          <w:szCs w:val="24"/>
        </w:rPr>
        <w:t xml:space="preserve">Приложением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кредитный договор запрещается включение дополнительных сборов, комиссионных и других платежей, штрафных санкций, помимо установленных в </w:t>
      </w:r>
      <w:r>
        <w:rPr>
          <w:rFonts w:ascii="Arial" w:cs="Arial" w:eastAsia="Arial" w:hAnsi="Arial"/>
          <w:sz w:val="24"/>
          <w:szCs w:val="24"/>
        </w:rPr>
        <w:t xml:space="preserve">Приложении 6</w:t>
      </w:r>
      <w:r>
        <w:rPr>
          <w:rFonts w:ascii="Arial" w:cs="Arial" w:eastAsia="Arial" w:hAnsi="Arial"/>
          <w:sz w:val="24"/>
          <w:szCs w:val="24"/>
        </w:rPr>
        <w:t xml:space="preserve">, иных сопутствующих услуг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Банк должен ознакомить клиента с указанным перечнем и при необходимости предоставить клиенту разъяснения по порядку расчетов кредита, комиссий и иных платежей, пени, штрафа, порядку получения/погашения кредита,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кредит получен в иностранной валюте, а ожидаемый доход (или его часть) - в национальной валюте, и другие, а также получить согласие клиента, свидетельством которого будет являться его подпись.</w:t>
      </w:r>
    </w:p>
    <w:p>
      <w:pPr>
        <w:spacing w:after="60"/>
        <w:ind w:firstLine="567"/>
        <w:jc w:val="both"/>
      </w:pPr>
      <w:r>
        <w:rPr>
          <w:rFonts w:ascii="Arial" w:cs="Arial" w:eastAsia="Arial" w:hAnsi="Arial"/>
          <w:sz w:val="24"/>
          <w:szCs w:val="24"/>
        </w:rPr>
        <w:t xml:space="preserve">При просрочке по оплате/погашению процентов по основной сумме кредита и/или просрочке по оплате/погашению основной суммы кредита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sz w:val="24"/>
          <w:szCs w:val="24"/>
        </w:rPr>
        <w:t xml:space="preserve">Банк должен указать все расходы клиента банка, связанные с предоставлением, использованием и возвратом кредита, согласно кредитному договору и внутренним процедурам банка. Стоимость расходов по услугам третьих лиц (плата за услуги страхования, нотариуса и др.) для осведомленности клиента банк указывает по действующим тарифам третьих лиц на дату заключения договора с указанием того, что данные расходы могут измениться в будущем.</w:t>
      </w:r>
    </w:p>
    <w:p>
      <w:pPr>
        <w:spacing w:after="60"/>
        <w:ind w:firstLine="567"/>
        <w:jc w:val="both"/>
      </w:pPr>
      <w:r>
        <w:rPr>
          <w:rFonts w:ascii="Arial" w:cs="Arial" w:eastAsia="Arial" w:hAnsi="Arial"/>
          <w:sz w:val="24"/>
          <w:szCs w:val="24"/>
        </w:rPr>
        <w:t xml:space="preserve">Кроме того, кредитный договор должен содержать:</w:t>
      </w:r>
    </w:p>
    <w:p>
      <w:pPr>
        <w:spacing w:after="60"/>
        <w:ind w:firstLine="567"/>
        <w:jc w:val="both"/>
      </w:pPr>
      <w:r>
        <w:rPr>
          <w:rFonts w:ascii="Arial" w:cs="Arial" w:eastAsia="Arial" w:hAnsi="Arial"/>
          <w:sz w:val="24"/>
          <w:szCs w:val="24"/>
        </w:rPr>
        <w:t xml:space="preserve">- обязанность банка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кредиту заемщика - физического лица, в том числе индивидуального предпринимателя без образования юридического лица, при этом размер неустойки (штрафа, пени), начисленной за весь период действия кредита, не должен превышать 20 процентов от суммы выданного кредита;</w:t>
      </w:r>
    </w:p>
    <w:p>
      <w:pPr>
        <w:spacing w:after="60"/>
        <w:ind w:firstLine="567"/>
        <w:jc w:val="both"/>
      </w:pPr>
      <w:r>
        <w:rPr>
          <w:rFonts w:ascii="Arial" w:cs="Arial" w:eastAsia="Arial" w:hAnsi="Arial"/>
          <w:sz w:val="24"/>
          <w:szCs w:val="24"/>
        </w:rPr>
        <w:t xml:space="preserve">- обязанность клиента физического лица, в том числе индивидуального предпринимателя предоставлять информацию о наличии кредитов в других финансово-кредитных организациях, включая кредиты супруга(и), родителей и детей, и о соблюдении кредитной дисциплины по данным кредитам не реже чем один раз в полгода;</w:t>
      </w:r>
    </w:p>
    <w:p>
      <w:pPr>
        <w:spacing w:after="60"/>
        <w:ind w:firstLine="567"/>
        <w:jc w:val="both"/>
      </w:pPr>
      <w:r>
        <w:rPr>
          <w:rFonts w:ascii="Arial" w:cs="Arial" w:eastAsia="Arial" w:hAnsi="Arial"/>
          <w:sz w:val="24"/>
          <w:szCs w:val="24"/>
        </w:rPr>
        <w:t xml:space="preserve">- обязанность банков предоставлять в течение трех рабочих дней по запросу заемщика информацию о получении кредита и о соблюдении кредитной дисциплины заемщиком по данному кредиту для ее предоставления в другую финансово-кредитную организацию, а также предоставлять четкую и точную информацию о счете заемщика (выписки со счета, чека, состояние баланса, подтверждение платежа по кредиту и другие необходимые сведения);</w:t>
      </w:r>
    </w:p>
    <w:p>
      <w:pPr>
        <w:spacing w:after="60"/>
        <w:ind w:firstLine="567"/>
        <w:jc w:val="both"/>
      </w:pPr>
      <w:r>
        <w:rPr>
          <w:rFonts w:ascii="Arial" w:cs="Arial" w:eastAsia="Arial" w:hAnsi="Arial"/>
          <w:sz w:val="24"/>
          <w:szCs w:val="24"/>
        </w:rPr>
        <w:t xml:space="preserve">-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w:t>
      </w:r>
    </w:p>
    <w:p>
      <w:pPr>
        <w:spacing w:after="60"/>
        <w:ind w:firstLine="567"/>
        <w:jc w:val="both"/>
      </w:pPr>
      <w:r>
        <w:rPr>
          <w:rFonts w:ascii="Arial" w:cs="Arial" w:eastAsia="Arial" w:hAnsi="Arial"/>
          <w:sz w:val="24"/>
          <w:szCs w:val="24"/>
        </w:rPr>
        <w:t xml:space="preserve">- пункт 44 дополнить абзацем следующего содержания:</w:t>
      </w:r>
    </w:p>
    <w:p>
      <w:pPr>
        <w:spacing w:after="60"/>
        <w:ind w:firstLine="567"/>
        <w:jc w:val="both"/>
      </w:pPr>
      <w:r>
        <w:rPr>
          <w:rFonts w:ascii="Arial" w:cs="Arial" w:eastAsia="Arial" w:hAnsi="Arial"/>
          <w:sz w:val="24"/>
          <w:szCs w:val="24"/>
        </w:rPr>
        <w:t xml:space="preserve">"Примечание: При выявлении фактов использования заемщиком кредита по нецелевому назначению банк вправе увеличить процентную ставку по кредиту. При этом внутренними документами банка должны быть предусмотрены нормы, устанавливающие четкие правила по мерам ответственности заемщика, в том числе размеру увеличения процентной ставки по кредиту. Процентная ставка не должна превышать размер предельно допустимого процента, рассчитанного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w:t>
      </w:r>
    </w:p>
    <w:p>
      <w:pPr>
        <w:spacing w:after="60"/>
        <w:ind w:firstLine="567"/>
        <w:jc w:val="both"/>
      </w:pPr>
      <w:r>
        <w:rPr>
          <w:rFonts w:ascii="Arial" w:cs="Arial" w:eastAsia="Arial" w:hAnsi="Arial"/>
          <w:sz w:val="24"/>
          <w:szCs w:val="24"/>
        </w:rPr>
        <w:t xml:space="preserve">- пункт седьмой </w:t>
      </w:r>
      <w:r>
        <w:rPr>
          <w:rFonts w:ascii="Arial" w:cs="Arial" w:eastAsia="Arial" w:hAnsi="Arial"/>
          <w:sz w:val="24"/>
          <w:szCs w:val="24"/>
        </w:rPr>
        <w:t xml:space="preserve">Приложения 2</w:t>
      </w:r>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расходов (платежей) клиентов банка и штрафных санкций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Расходы (платежи) клиента банка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согласно договору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Процентные платежи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в случае отказа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соответствии с утвержденными тарифами банка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расчетного (текущего)/счета по банковским вкладам (депозитам) до востребования счетов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 (за исключением случаев реструктуризации кредита в соответствии с требованиями нормативных правовых актов Национального банка)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кредитной линии), если договором предусмотрено безусловное обязательство банка по предоставлению кредитных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Государственной регистрационной службы при Правительстве Кыргызской Республики, Государственного агентства по земельным ресурсам при Правительстве Кыргызской Республики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примерная стоимость (диапазон) таких расходов с указанием того, что данные расходы могут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Штрафные санкции и пени банка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банке на основании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более 30 календарных дней пополнения депозита, предоставленного в залог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банком)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 после получения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 (платежи)</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 уполномоченного сотрудника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 клиента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 Внести в </w:t>
      </w:r>
      <w:hyperlink w:history="1" r:id="rIdqa1ajb_gnubj3vi-tiqp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mxhwofuaiwkmxesc6jfq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политике ценообразования банковских, платежных услуг и услуг, оказываемых микрофинансовыми организациями" от 14 июня 2013 года № 19/2 следующее дополнение:</w:t>
      </w:r>
    </w:p>
    <w:p>
      <w:pPr>
        <w:spacing w:after="60"/>
        <w:ind w:firstLine="567"/>
        <w:jc w:val="both"/>
      </w:pPr>
      <w:r>
        <w:rPr>
          <w:rFonts w:ascii="Arial" w:cs="Arial" w:eastAsia="Arial" w:hAnsi="Arial"/>
          <w:sz w:val="24"/>
          <w:szCs w:val="24"/>
        </w:rPr>
        <w:t xml:space="preserve">в </w:t>
      </w:r>
      <w:hyperlink w:history="1" r:id="rIdtmg37vsmpoeesxjllkvp8">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политике ценообразования банковских, платежных услуг и услуг, оказываемых микрофинансовыми организациями", утвержденном вышеуказанным </w:t>
      </w:r>
      <w:hyperlink w:history="1" r:id="rIdujbdvcj8by0gozonspa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дополнить вторым-пятым абзацами следующего содержания:</w:t>
      </w:r>
    </w:p>
    <w:p>
      <w:pPr>
        <w:spacing w:after="60"/>
        <w:ind w:firstLine="567"/>
        <w:jc w:val="both"/>
      </w:pPr>
      <w:r>
        <w:rPr>
          <w:rFonts w:ascii="Arial" w:cs="Arial" w:eastAsia="Arial" w:hAnsi="Arial"/>
          <w:sz w:val="24"/>
          <w:szCs w:val="24"/>
        </w:rPr>
        <w:t xml:space="preserve">"Услуга, за которую лица, предоставляющие банковские услуги, взимают комиссионные и иные платежи, должны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кредита;</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3. Внести в </w:t>
      </w:r>
      <w:hyperlink w:history="1" r:id="rIdupkolha1t8zwoo1kxr4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tjmclizqeae0zp62z-lh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от 24 июня 2015 года № 35/10 следующие изменения:</w:t>
      </w:r>
    </w:p>
    <w:p>
      <w:pPr>
        <w:spacing w:after="60"/>
        <w:ind w:firstLine="567"/>
        <w:jc w:val="both"/>
      </w:pPr>
      <w:r>
        <w:rPr>
          <w:rFonts w:ascii="Arial" w:cs="Arial" w:eastAsia="Arial" w:hAnsi="Arial"/>
          <w:sz w:val="24"/>
          <w:szCs w:val="24"/>
        </w:rPr>
        <w:t xml:space="preserve">в </w:t>
      </w:r>
      <w:hyperlink w:history="1" r:id="rIdpbedxn8lcdzzgri2mfkv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утвержденном вышеуказанным </w:t>
      </w:r>
      <w:hyperlink w:history="1" r:id="rIdeivqe2tz5-ddkle1g4qu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18 слово "пяти" заменить словом "трех";</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подпункт 5 изложить в следующей редакции:</w:t>
      </w:r>
    </w:p>
    <w:p>
      <w:pPr>
        <w:spacing w:after="60"/>
        <w:ind w:firstLine="567"/>
        <w:jc w:val="both"/>
      </w:pPr>
      <w:r>
        <w:rPr>
          <w:rFonts w:ascii="Arial" w:cs="Arial" w:eastAsia="Arial" w:hAnsi="Arial"/>
          <w:sz w:val="24"/>
          <w:szCs w:val="24"/>
        </w:rPr>
        <w:t xml:space="preserve">"5) запрещается включение в кредитный договор дополнительных сборов, комиссионных и других платежей, штрафных санкций, помимо предусмотренных законодательством Кыргызской Республики, а также иных сопутствующих услуг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Услуга, за которую ФКО взимает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кредита;</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Не допускается взимание ФКО процентов и комиссий за одну и ту же операцию.</w:t>
      </w:r>
    </w:p>
    <w:p>
      <w:pPr>
        <w:spacing w:after="60"/>
        <w:ind w:firstLine="567"/>
        <w:jc w:val="both"/>
      </w:pPr>
      <w:r>
        <w:rPr>
          <w:rFonts w:ascii="Arial" w:cs="Arial" w:eastAsia="Arial" w:hAnsi="Arial"/>
          <w:sz w:val="24"/>
          <w:szCs w:val="24"/>
        </w:rPr>
        <w:t xml:space="preserve">Неустойка (штраф/пеня) и другие штрафные санкции взимаются ФКО с клиента только за неисполнение/ненадлежащее исполнение клиентом своих обязательств по кредитному договору и/или иным соглашениям.";</w:t>
      </w:r>
    </w:p>
    <w:p>
      <w:pPr>
        <w:spacing w:after="60"/>
        <w:ind w:firstLine="567"/>
        <w:jc w:val="both"/>
      </w:pPr>
      <w:r>
        <w:rPr>
          <w:rFonts w:ascii="Arial" w:cs="Arial" w:eastAsia="Arial" w:hAnsi="Arial"/>
          <w:sz w:val="24"/>
          <w:szCs w:val="24"/>
        </w:rPr>
        <w:t xml:space="preserve">- подпункт 7 после слов "за тридцать календарных дней" дополнить словами "до дня досрочного погашения".</w:t>
      </w:r>
    </w:p>
    <w:p>
      <w:pPr>
        <w:spacing w:after="60"/>
        <w:ind w:firstLine="567"/>
        <w:jc w:val="both"/>
      </w:pPr>
      <w:r>
        <w:rPr>
          <w:rFonts w:ascii="Arial" w:cs="Arial" w:eastAsia="Arial" w:hAnsi="Arial"/>
          <w:sz w:val="24"/>
          <w:szCs w:val="24"/>
        </w:rPr>
        <w:t xml:space="preserve">4. Внести в </w:t>
      </w:r>
      <w:hyperlink w:history="1" r:id="rId_x289udoxsgdyre1apd6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m2qso0t75a6pn5cu-0r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15 июня 2017 года № 2017-П-12/25-4-(НПА) следующие изменения:</w:t>
      </w:r>
    </w:p>
    <w:p>
      <w:pPr>
        <w:spacing w:after="60"/>
        <w:ind w:firstLine="567"/>
        <w:jc w:val="both"/>
      </w:pPr>
      <w:r>
        <w:rPr>
          <w:rFonts w:ascii="Arial" w:cs="Arial" w:eastAsia="Arial" w:hAnsi="Arial"/>
          <w:sz w:val="24"/>
          <w:szCs w:val="24"/>
        </w:rPr>
        <w:t xml:space="preserve">в </w:t>
      </w:r>
      <w:hyperlink w:history="1" r:id="rIdhgdbqvsv2sc3gbigblpu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утвержденном вышеуказанным </w:t>
      </w:r>
      <w:hyperlink w:history="1" r:id="rIdptb6lzhgtv6zv4hpbbtg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30 слова "об административной ответственности" заменить словами "о нарушениях";</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Решение о применении взыскания принимается комиссией Национального банка по рассмотрению дел о нарушениях в соответствии с нормативными правовыми актами Национального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o_mdq5o3iwgh2z4rxrs">
      <w:r>
        <w:rPr>
          <w:rFonts w:ascii="Arial" w:cs="Arial" w:eastAsia="Arial" w:hAnsi="Arial"/>
          <w:color w:val="132D3F"/>
          <w:sz w:val="16"/>
          <w:szCs w:val="16"/>
          <w:u w:val="single"/>
        </w:rPr>
        <w:t xml:space="preserve">dalil.kg/document/800066</w:t>
      </w:r>
    </w:hyperlink>
  </w:p>
  <w:p>
    <w:pPr>
      <w:spacing w:after="0" w:before="40"/>
      <w:jc w:val="center"/>
    </w:pPr>
    <w:hyperlink w:history="1" r:id="rIdlkur71pyrbqui5j3ous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xzfuvvejsoj2f3j9sxo9" Type="http://schemas.openxmlformats.org/officeDocument/2006/relationships/hyperlink" Target="https://dalil.kg/document/111486#st_20" TargetMode="External"/><Relationship Id="rIdmzscrqw0qxsjiviakuxhh" Type="http://schemas.openxmlformats.org/officeDocument/2006/relationships/hyperlink" Target="https://dalil.kg/document/111486#st_68" TargetMode="External"/><Relationship Id="rIde6a0ltoudz5h7v9xxasao" Type="http://schemas.openxmlformats.org/officeDocument/2006/relationships/hyperlink" Target="https://dalil.kg/document/800066#pr" TargetMode="External"/><Relationship Id="rIdaz6-ojyw2amnho_d4pftn" Type="http://schemas.openxmlformats.org/officeDocument/2006/relationships/hyperlink" Target="https://dalil.kg/document/302353" TargetMode="External"/><Relationship Id="rIdwbkgjswvgk4tjxf1ixt74" Type="http://schemas.openxmlformats.org/officeDocument/2006/relationships/hyperlink" Target="https://dalil.kg/document/302698" TargetMode="External"/><Relationship Id="rIdqxao0og6edmgsz4ylsn8y" Type="http://schemas.openxmlformats.org/officeDocument/2006/relationships/hyperlink" Target="https://dalil.kg/document/302699" TargetMode="External"/><Relationship Id="rIdzvgolevzjc5vcutt-fcbg" Type="http://schemas.openxmlformats.org/officeDocument/2006/relationships/hyperlink" Target="https://dalil.kg/document/303014" TargetMode="External"/><Relationship Id="rIdoyzdomvzqbhin_6knxptv" Type="http://schemas.openxmlformats.org/officeDocument/2006/relationships/hyperlink" Target="https://dalil.kg/document/303013" TargetMode="External"/><Relationship Id="rIdtxyio9thwxzcwtbneshvf" Type="http://schemas.openxmlformats.org/officeDocument/2006/relationships/hyperlink" Target="https://dalil.kg/document/800231" TargetMode="External"/><Relationship Id="rId-hh7sgemvjqhg68uwgx5u" Type="http://schemas.openxmlformats.org/officeDocument/2006/relationships/hyperlink" Target="https://dalil.kg/document/800230" TargetMode="External"/><Relationship Id="rIdmpmhpyonklej_jexm96aa" Type="http://schemas.openxmlformats.org/officeDocument/2006/relationships/hyperlink" Target="https://dalil.kg/document/302353" TargetMode="External"/><Relationship Id="rIdpm2sdxfznuejkf3u19tyu" Type="http://schemas.openxmlformats.org/officeDocument/2006/relationships/hyperlink" Target="https://dalil.kg/document/302354" TargetMode="External"/><Relationship Id="rIdtg1sbupw21mbhhbcdprwe" Type="http://schemas.openxmlformats.org/officeDocument/2006/relationships/hyperlink" Target="https://dalil.kg/document/302353" TargetMode="External"/><Relationship Id="rIdqa1ajb_gnubj3vi-tiqpn" Type="http://schemas.openxmlformats.org/officeDocument/2006/relationships/hyperlink" Target="https://dalil.kg/document/302699" TargetMode="External"/><Relationship Id="rIdmxhwofuaiwkmxesc6jfq3" Type="http://schemas.openxmlformats.org/officeDocument/2006/relationships/hyperlink" Target="https://dalil.kg/document/302698" TargetMode="External"/><Relationship Id="rIdtmg37vsmpoeesxjllkvp8" Type="http://schemas.openxmlformats.org/officeDocument/2006/relationships/hyperlink" Target="https://dalil.kg/document/302698" TargetMode="External"/><Relationship Id="rIdujbdvcj8by0gozonspaqx" Type="http://schemas.openxmlformats.org/officeDocument/2006/relationships/hyperlink" Target="https://dalil.kg/document/302699" TargetMode="External"/><Relationship Id="rIdupkolha1t8zwoo1kxr4wg" Type="http://schemas.openxmlformats.org/officeDocument/2006/relationships/hyperlink" Target="https://dalil.kg/document/303013" TargetMode="External"/><Relationship Id="rIdtjmclizqeae0zp62z-lhs" Type="http://schemas.openxmlformats.org/officeDocument/2006/relationships/hyperlink" Target="https://dalil.kg/document/303014" TargetMode="External"/><Relationship Id="rIdpbedxn8lcdzzgri2mfkvn" Type="http://schemas.openxmlformats.org/officeDocument/2006/relationships/hyperlink" Target="https://dalil.kg/document/303014" TargetMode="External"/><Relationship Id="rIdeivqe2tz5-ddkle1g4qul" Type="http://schemas.openxmlformats.org/officeDocument/2006/relationships/hyperlink" Target="https://dalil.kg/document/303013" TargetMode="External"/><Relationship Id="rId_x289udoxsgdyre1apd6z" Type="http://schemas.openxmlformats.org/officeDocument/2006/relationships/hyperlink" Target="https://dalil.kg/document/800230" TargetMode="External"/><Relationship Id="rIdm2qso0t75a6pn5cu-0rp-" Type="http://schemas.openxmlformats.org/officeDocument/2006/relationships/hyperlink" Target="https://dalil.kg/document/800231" TargetMode="External"/><Relationship Id="rIdhgdbqvsv2sc3gbigblpus" Type="http://schemas.openxmlformats.org/officeDocument/2006/relationships/hyperlink" Target="https://dalil.kg/document/800231" TargetMode="External"/><Relationship Id="rIdptb6lzhgtv6zv4hpbbtgg" Type="http://schemas.openxmlformats.org/officeDocument/2006/relationships/hyperlink" Target="https://dalil.kg/document/800230"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o_mdq5o3iwgh2z4rxrs" Type="http://schemas.openxmlformats.org/officeDocument/2006/relationships/hyperlink" Target="https://dalil.kg/document/800066" TargetMode="External"/><Relationship Id="rIdlkur71pyrbqui5j3ous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2026-09-24T18:05:23.748Z</dcterms:created>
  <dcterms:modified xsi:type="dcterms:W3CDTF">2026-09-24T18:05:23.748Z</dcterms:modified>
</cp:coreProperties>
</file>

<file path=docProps/custom.xml><?xml version="1.0" encoding="utf-8"?>
<Properties xmlns="http://schemas.openxmlformats.org/officeDocument/2006/custom-properties" xmlns:vt="http://schemas.openxmlformats.org/officeDocument/2006/docPropsVTypes"/>
</file>