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 февраля 2008 года. Регистрационный номер 6-08 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00-nk07y53lv9orpdw2q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периодическом регулятивном отчете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fdjxiu6tawjlvxp4v1wg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декабря 2009 года N 49/17,</w:t>
        </w:r>
      </w:hyperlink>
      <w:hyperlink w:history="1" r:id="rIdvvhxjwv2y8fqglfimwct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ikyuxdiruz_ehucb80de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апреля 2012 года N 18/9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85wvzhlw6g-rn9k2bn0n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ar7vptkxf8zbjzohdjgx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Настоящее Положение определяет единую форму периодической регулятивной отчетности (далее по тексту ПРО) для кредитных союзов (далее по тексту КС).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Действие положения "О периодическом регулятивном отчете кредитного союза" распространяется на все КС, лицензируемые Национальным банком Кыргызской Республики (далее по тексту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ПРО составляется на основе данных бухгалтерского учета и внесистемного учета КС.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ПРО составляется в целях проведения анализа: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а) финансового состояния КС в рамках выполняемых Национальным банком Кыргызской Республики функций, закрепленных в </w:t>
      </w:r>
      <w:hyperlink w:history="1" r:id="rId9-zzb5ie8gpw_7h0wxnv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 О Национальном банке Кыргызской Республики, банках и банковской деятельности" и </w:t>
      </w:r>
      <w:hyperlink w:history="1" r:id="rIdy3-ezny7tbtvi-xaomf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кредитных союзах";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б) деятельности КС для принятия руководителями КС решений по обеспечению ликвидности, платежеспособности и доходности.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15 июня 2017 года № 2017-П-12/25-12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Главная задача ПРО - представление достоверной и полной информации об экономической и хозяйственной деятельности КС для обеспечения выполнения целей, указанных в пункте 2.1.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Содержание и периодичность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ПРО представляет собой отчетность о деятельности КС в установленной форме за определенный период и представляемую в установленный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Состав отчетности в сводном виде, краткое содержание и сроки представления отчетов приведены в </w:t>
      </w:r>
      <w:hyperlink w:history="1" r:id="rIdrjyz9tmlijbxjbupwvzt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Отчет за 4 квартал является годовым и предоставляется в Национальный банк не позднее 1 февраля года, следующего за отчетным годом.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ПРО состоит из 7 Форм.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представления ПРО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В каждом КС должен быть назначен сотрудник, отвечающий за полноту содержания, сроки представления и правильность заполнения ПРО. На данного сотрудника также возлагается ответственность за взаимодействие с Национальным банком по всем вопросам, касающимся информации, содержащейся в ПРО.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ПРО представляется в Национальный банк по формам согласно </w:t>
      </w:r>
      <w:hyperlink w:history="1" r:id="rId9t4ixk2ti8sxb5dygjla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Положению в установленные для каждого отчета сроки на бумажных и электронных носителях информации. Электронные версии ПРО должны быть сформированы по шаблонам, установленным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6tgzyrfttz1y9mqlybzt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КС, расположенные в Чуйской области и г.Бишкек, должны представлять ПРО на бумажных носителях информации в Общий отдел Национального банка в запечатанном конверте.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Электронные версии ПРО должны передаваться по электронной почте в Отдел технической поддержки статистической базы Управления финансовой статистики и обзора (далее - УФСО) Национального банка. В случае отсутствия электронной почты КС должны представить отчеты на других электронных носителях (USB - флэш накопителе).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gp31lkae259t3m6gyp0p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4.3-1. КС, расположенные в других областях республики, должны представлять ПРО в соответствующее областное управление/Баткенское представительство Национального банка на бумажных и электронных носителях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Областные управления и Баткенское представительство Национального банка направляют ПРО в УФСО в агрегированном виде.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zwctee9vrn9zosx46hdc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апреля 2013 года N 13/10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 случае каких-либо несоответствий, ошибок, неполного предоставления либо некорректного заполнения форм ПРО соответствующее структурное подразделение Национального банка уведомляет КC о необходимости корректировки отчета с отражением в финансовой отчетности в течение 10 рабочих дней с даты получения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Откорректированные отчеты вместе с сопроводительным письмом КC должны быть представлены в Национальный банк в течение 5 рабочих дней после получения уведомления о наличии несоответствий в отчете.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4.5. В случае отсутствия со стороны Национального банка замечаний по ПРО либо после приведения отчета в соответствие с замечаниями Национального банка и письменного уведомления Национального банка об исправлении ПРО, ПРО считается принятым Национальным банком.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4.6. Периодический регулятивный отчет должен быть представлен в установленной форме: с подписью председателя и главного бухгалтера КС на каждой форме, вместе с сопроводительным письмом. ПРО должен содержать достоверную информацию о состоянии КС на отчетную дату.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За несвоевременное и/или недостоверное представление информации, за непредставление информации, за неполное и/или некорректное заполнение ПРО, КС, а также Председатель Правления и бухгалтер КС несут ответственность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20 января 2016 года № 4/5)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5.2. КС должны обеспечить хранение вторых экземпляров ПРО, предоставляемых в Национальный банк.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периодического регулятивного отчета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1"/>
        <w:gridCol w:w="4022"/>
        <w:gridCol w:w="1588"/>
        <w:gridCol w:w="3467"/>
      </w:tblGrid>
      <w:tr>
        <w:tc>
          <w:tcPr>
            <w:tcW w:type="dxa" w:w="1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№ разделов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</w:t>
            </w:r>
          </w:p>
        </w:tc>
        <w:tc>
          <w:tcPr>
            <w:tcW w:type="dxa" w:w="1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Периодичность</w:t>
            </w:r>
          </w:p>
        </w:tc>
        <w:tc>
          <w:tcPr>
            <w:tcW w:type="dxa" w:w="3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Сроки представления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Активы</w:t>
            </w:r>
          </w:p>
        </w:tc>
        <w:tc>
          <w:tcPr>
            <w:tcW w:type="dxa" w:w="15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Ежеквартально</w:t>
            </w:r>
          </w:p>
        </w:tc>
        <w:tc>
          <w:tcPr>
            <w:tcW w:type="dxa" w:w="3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Отчеты за 1, 2, 3 и 4 кварталы в течение 15 календарных дней со дня окончания отчетного квартала.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Годовой отчет не позднее 20 числа, следующего за отчетным годом</w:t>
            </w:r>
          </w:p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Обязательства и капитал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Забалансовые обязательства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Отчет о доходах и расходах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Информация по кредитному портфелю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Классификация кредитов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Классификация финансового лизинга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Кредитный портфель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Финансовый лизинг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Информация по привлеченным средствам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Сведения о крупных заемщиках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крупных проблемных заемщиках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Информация о параллельных кредитах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Реструктуризированные кредиты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Объем принятых депозитов с разбивкой по срокам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Объем принятых депозитов с разбивкой по суммам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Движение депозитов за отчетный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Размеры минимальных, средних и максимальных депозитов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Процентная ставка по привлекаемым депозитам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А. Сведения о подлежащих к погашению и погашенных кредитов за отчетный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Б. Состав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В. Участники, заемщики и вкладчики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Г. Сведения по размерам сберегательного пая и кредита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Д. Сведения о месторасположении и территории действия кредитного союза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Е. Условия изъятия сберегательного пая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Ж. Дивиденды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З. Краткосрочные обязательства (срок выплаты по которым наступает в течение 30 дней)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И. Информация по осуществлению розничных банковских услуг по агентскому договору с банком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К. Расшифровка по операциям размещения и инвестициям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Информация о соблюдении экономических нормативов кредитного союза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  <w:r>
        <w:rPr>
          <w:rFonts w:ascii="Arial" w:cs="Arial" w:eastAsia="Arial" w:hAnsi="Arial"/>
          <w:sz w:val="20"/>
          <w:szCs w:val="20"/>
        </w:rPr>
        <w:t xml:space="preserve">
 к положению "О периодическом регулятивном отчете кредитного союза", утвержденному постановлением Правления Национального банка Кыргызской Республики
 от 16 января 2008 года N 3/3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ПЕРИОДИЧЕСКИЙ РЕГУЛЯТИВНЫЙ ОТЧЕТ
 кредитного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4kakqxp_ryrwouyf2lri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января 2012 года N 2/2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 января 2016 года № 4/5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16 августа 2017 года № 2017-П-12/34-1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0zznu2l-ie5chltb-igo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30 мая 2018 года № 2018-П-12/20-2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15 </w:t>
      </w:r>
      <w:hyperlink w:history="1" r:id="rId6fxkddx1sgkdkuwo13uq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августа 2018 года № 2018-П-33/33-8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  к положению "О Периодическом регулятивном отчете кредитного союза", утвержденному постановлением Правления НБКР №_____ от «____» _____________201____ г. 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43"/>
        <w:gridCol w:w="675"/>
        <w:gridCol w:w="755"/>
        <w:gridCol w:w="1060"/>
        <w:gridCol w:w="1060"/>
        <w:gridCol w:w="1060"/>
        <w:gridCol w:w="1155"/>
        <w:gridCol w:w="828"/>
        <w:gridCol w:w="721"/>
        <w:gridCol w:w="1222"/>
      </w:tblGrid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структурного подразделения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А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Национального банка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ДСП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9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Периодический Регулятивный Отчет кредитного союза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No.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 представления)</w:t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(вход./исх.)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:</w:t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Составлен: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/день, месяц, год/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/день, месяц, год/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3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Периодичность:  ежеквартальный; - годовой;  - корректировка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3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Достоверность отчета подтверждена: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внутренней проверкой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аудитом без заключения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аудитом с заключением</w:t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7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Отчитывающееся учреждение:</w:t>
            </w:r>
          </w:p>
        </w:tc>
        <w:tc>
          <w:tcPr>
            <w:tcW w:type="dxa" w:w="588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93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/укажите наименование КС крупными печатными буквами/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0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И УДОСТОВЕРЕНИЕ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Председатель Правления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(подпись)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Главный бухгалтер: </w:t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15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</w:t>
            </w:r>
          </w:p>
        </w:tc>
        <w:tc>
          <w:tcPr>
            <w:tcW w:type="dxa" w:w="277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 (подпись)</w:t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gridSpan w:val="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ответственное за составление отчета</w:t>
            </w:r>
          </w:p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12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98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</w:t>
            </w:r>
          </w:p>
        </w:tc>
        <w:tc>
          <w:tcPr>
            <w:tcW w:type="dxa" w:w="1943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9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Только для заполнения сотрудниками Соответствующего структурного подразделения</w:t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21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поступления на рассмотрение</w:t>
            </w:r>
          </w:p>
        </w:tc>
        <w:tc>
          <w:tcPr>
            <w:tcW w:type="dxa" w:w="1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  <w:tc>
          <w:tcPr>
            <w:tcW w:type="dxa" w:w="1549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завершения проверки</w:t>
            </w:r>
          </w:p>
        </w:tc>
        <w:tc>
          <w:tcPr>
            <w:tcW w:type="dxa" w:w="12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gridSpan w:val="2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2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4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usionjpmtx0jwjvzi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dalil.kg/document/800084</w:t>
      </w:r>
    </w:hyperlink>
  </w:p>
  <w:p>
    <w:pPr>
      <w:spacing w:after="0" w:before="40"/>
      <w:jc w:val="center"/>
    </w:pPr>
    <w:hyperlink w:history="1" r:id="rIdkuxsf9jkn0nbtp3l18d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0-nk07y53lv9orpdw2ql" Type="http://schemas.openxmlformats.org/officeDocument/2006/relationships/hyperlink" Target="https://dalil.kg/document/800083" TargetMode="External"/><Relationship Id="rIdfdjxiu6tawjlvxp4v1wgu" Type="http://schemas.openxmlformats.org/officeDocument/2006/relationships/hyperlink" Target="https://dalil.kg/document/301262" TargetMode="External"/><Relationship Id="rIdvvhxjwv2y8fqglfimwct0" Type="http://schemas.openxmlformats.org/officeDocument/2006/relationships/hyperlink" Target="https://dalil.kg/document/302517" TargetMode="External"/><Relationship Id="rIdikyuxdiruz_ehucb80deo" Type="http://schemas.openxmlformats.org/officeDocument/2006/relationships/hyperlink" Target="https://dalil.kg/document/302520" TargetMode="External"/><Relationship Id="rId85wvzhlw6g-rn9k2bn0np" Type="http://schemas.openxmlformats.org/officeDocument/2006/relationships/hyperlink" Target="https://dalil.kg/document/302905" TargetMode="External"/><Relationship Id="rIdar7vptkxf8zbjzohdjgx4" Type="http://schemas.openxmlformats.org/officeDocument/2006/relationships/hyperlink" Target="https://dalil.kg/document/800078" TargetMode="External"/><Relationship Id="rId9-zzb5ie8gpw_7h0wxnv2" Type="http://schemas.openxmlformats.org/officeDocument/2006/relationships/hyperlink" Target="https://dalil.kg/document/111486" TargetMode="External"/><Relationship Id="rIdy3-ezny7tbtvi-xaomf5n" Type="http://schemas.openxmlformats.org/officeDocument/2006/relationships/hyperlink" Target="https://dalil.kg/document/280" TargetMode="External"/><Relationship Id="rIdrjyz9tmlijbxjbupwvztu" Type="http://schemas.openxmlformats.org/officeDocument/2006/relationships/hyperlink" Target="https://dalil.kg/document/800084#p1" TargetMode="External"/><Relationship Id="rId9t4ixk2ti8sxb5dygjlal" Type="http://schemas.openxmlformats.org/officeDocument/2006/relationships/hyperlink" Target="https://dalil.kg/document/800084#p2" TargetMode="External"/><Relationship Id="rId6tgzyrfttz1y9mqlybztz" Type="http://schemas.openxmlformats.org/officeDocument/2006/relationships/hyperlink" Target="https://dalil.kg/document/302905" TargetMode="External"/><Relationship Id="rIdgp31lkae259t3m6gyp0px" Type="http://schemas.openxmlformats.org/officeDocument/2006/relationships/hyperlink" Target="https://dalil.kg/document/302905" TargetMode="External"/><Relationship Id="rIdzwctee9vrn9zosx46hdcn" Type="http://schemas.openxmlformats.org/officeDocument/2006/relationships/hyperlink" Target="https://dalil.kg/document/302905" TargetMode="External"/><Relationship Id="rId4kakqxp_ryrwouyf2lri3" Type="http://schemas.openxmlformats.org/officeDocument/2006/relationships/hyperlink" Target="https://dalil.kg/document/302517" TargetMode="External"/><Relationship Id="rId0zznu2l-ie5chltb-igo_" Type="http://schemas.openxmlformats.org/officeDocument/2006/relationships/hyperlink" Target="https://dalil.kg/document/800078" TargetMode="External"/><Relationship Id="rId6fxkddx1sgkdkuwo13uqx" Type="http://schemas.openxmlformats.org/officeDocument/2006/relationships/hyperlink" Target="https://dalil.kg/document/80021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usionjpmtx0jwjvzi1v" Type="http://schemas.openxmlformats.org/officeDocument/2006/relationships/hyperlink" Target="https://dalil.kg/document/800084" TargetMode="External"/><Relationship Id="rIdkuxsf9jkn0nbtp3l18d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2026-09-24T23:38:01.239Z</dcterms:created>
  <dcterms:modified xsi:type="dcterms:W3CDTF">2026-09-24T23:38:01.239Z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