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НАЦИОНАЛЬНЫЙ БАНК КЫРГЫЗСКОЙ РЕПУБЛИКИ </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15 июня 2017 года № 2017-П-12/25-7-(НПА)</w:t>
      </w:r>
    </w:p>
    <w:p>
      <w:pPr>
        <w:spacing w:after="120"/>
        <w:jc w:val="both"/>
      </w:pPr>
      <w:r>
        <w:rPr>
          <w:rFonts w:ascii="Arial" w:cs="Arial" w:eastAsia="Arial" w:hAnsi="Arial"/>
          <w:sz w:val="24"/>
          <w:szCs w:val="24"/>
        </w:rPr>
        <w:t xml:space="preserve">О внесении изменений и дополнений в некоторые нормативные правовые акты Национального банка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7</w:t>
      </w:r>
      <w:r>
        <w:rPr>
          <w:rFonts w:ascii="Arial" w:cs="Arial" w:eastAsia="Arial" w:hAnsi="Arial"/>
          <w:sz w:val="24"/>
          <w:szCs w:val="24"/>
        </w:rPr>
        <w:t xml:space="preserve"> и </w:t>
      </w:r>
      <w:r>
        <w:rPr>
          <w:rFonts w:ascii="Arial" w:cs="Arial" w:eastAsia="Arial" w:hAnsi="Arial"/>
          <w:sz w:val="24"/>
          <w:szCs w:val="24"/>
        </w:rPr>
        <w:t xml:space="preserve">43</w:t>
      </w:r>
      <w:r>
        <w:rPr>
          <w:rFonts w:ascii="Arial" w:cs="Arial" w:eastAsia="Arial" w:hAnsi="Arial"/>
          <w:sz w:val="24"/>
          <w:szCs w:val="24"/>
        </w:rPr>
        <w:t xml:space="preserve"> </w:t>
      </w:r>
      <w:hyperlink w:history="1" r:id="rId714eanmqsrk_rf1f-9hn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Правление Национального банка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w:t>
      </w:r>
      <w:hyperlink w:history="1" r:id="rIdodq8srz0vs54syfmoay3e">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следующие нормативные правовые акты Национального банка Кыргызской Республики (прилагаются):</w:t>
      </w:r>
    </w:p>
    <w:p>
      <w:pPr>
        <w:spacing w:after="60"/>
        <w:ind w:firstLine="567"/>
        <w:jc w:val="both"/>
      </w:pPr>
      <w:r>
        <w:rPr>
          <w:rFonts w:ascii="Arial" w:cs="Arial" w:eastAsia="Arial" w:hAnsi="Arial"/>
          <w:sz w:val="24"/>
          <w:szCs w:val="24"/>
        </w:rPr>
        <w:t xml:space="preserve">- </w:t>
      </w:r>
      <w:hyperlink w:history="1" r:id="rIdlvguwnufjc5g7k2mz8b7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imrivh1yehfeqtawj5vsz">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рыночным риском в коммерческих банках и других финансово-кредитных учреждениях, лицензируемых Национальным банком Кыргызской Республики" от 28 июня 2006 года № 19/2;</w:t>
      </w:r>
    </w:p>
    <w:p>
      <w:pPr>
        <w:spacing w:after="60"/>
        <w:ind w:firstLine="567"/>
        <w:jc w:val="both"/>
      </w:pPr>
      <w:r>
        <w:rPr>
          <w:rFonts w:ascii="Arial" w:cs="Arial" w:eastAsia="Arial" w:hAnsi="Arial"/>
          <w:sz w:val="24"/>
          <w:szCs w:val="24"/>
        </w:rPr>
        <w:t xml:space="preserve">- </w:t>
      </w:r>
      <w:hyperlink w:history="1" r:id="rIdnebssur-zvgcfrqghhaz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qik3fhphf1uhuatpekagl">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страновым риском в коммерческих банках и иных финансово-кредитных учреждениях, лицензируемых Национальным банком Кыргызской Республики" от 28 июня 2006 года № 19/3;</w:t>
      </w:r>
    </w:p>
    <w:p>
      <w:pPr>
        <w:spacing w:after="60"/>
        <w:ind w:firstLine="567"/>
        <w:jc w:val="both"/>
      </w:pPr>
      <w:r>
        <w:rPr>
          <w:rFonts w:ascii="Arial" w:cs="Arial" w:eastAsia="Arial" w:hAnsi="Arial"/>
          <w:sz w:val="24"/>
          <w:szCs w:val="24"/>
        </w:rPr>
        <w:t xml:space="preserve">- постановление Правления Национального банка Кыргызской Республики "Об утверждении Положения "О минимальных требованиях по управлению операционным риском в коммерческих банках Кыргызской Республики" от 15 декабря 2005 года № 37/5;</w:t>
      </w:r>
    </w:p>
    <w:p>
      <w:pPr>
        <w:spacing w:after="60"/>
        <w:ind w:firstLine="567"/>
        <w:jc w:val="both"/>
      </w:pPr>
      <w:r>
        <w:rPr>
          <w:rFonts w:ascii="Arial" w:cs="Arial" w:eastAsia="Arial" w:hAnsi="Arial"/>
          <w:sz w:val="24"/>
          <w:szCs w:val="24"/>
        </w:rPr>
        <w:t xml:space="preserve">- </w:t>
      </w:r>
      <w:hyperlink w:history="1" r:id="rIdiw-lhka-n82gb1-qj_2x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w:t>
      </w:r>
      <w:hyperlink w:history="1" r:id="rIdjb40vc2b7uqxjslq7hx_u">
        <w:r>
          <w:rPr>
            <w:rFonts w:ascii="Arial" w:cs="Arial" w:eastAsia="Arial" w:hAnsi="Arial"/>
            <w:color w:val="1D4ED8"/>
            <w:sz w:val="24"/>
            <w:szCs w:val="24"/>
            <w:u w:val="single"/>
          </w:rPr>
          <w:t xml:space="preserve">основных требованиях</w:t>
        </w:r>
      </w:hyperlink>
      <w:r>
        <w:rPr>
          <w:rFonts w:ascii="Arial" w:cs="Arial" w:eastAsia="Arial" w:hAnsi="Arial"/>
          <w:sz w:val="24"/>
          <w:szCs w:val="24"/>
        </w:rPr>
        <w:t xml:space="preserve"> к Комитету по аудиту" от 20 ноября 2003 года № 32/7.</w:t>
      </w:r>
    </w:p>
    <w:p>
      <w:pPr>
        <w:spacing w:after="60"/>
        <w:ind w:firstLine="567"/>
        <w:jc w:val="both"/>
      </w:pPr>
      <w:r>
        <w:rPr>
          <w:rFonts w:ascii="Arial" w:cs="Arial" w:eastAsia="Arial" w:hAnsi="Arial"/>
          <w:sz w:val="24"/>
          <w:szCs w:val="24"/>
        </w:rPr>
        <w:t xml:space="preserve">2. Настоящее постановление вступает в силу с 22 июня 2017 года.</w:t>
      </w:r>
    </w:p>
    <w:p>
      <w:pPr>
        <w:spacing w:after="60"/>
        <w:ind w:firstLine="567"/>
        <w:jc w:val="both"/>
      </w:pPr>
      <w:r>
        <w:rPr>
          <w:rFonts w:ascii="Arial" w:cs="Arial" w:eastAsia="Arial" w:hAnsi="Arial"/>
          <w:sz w:val="24"/>
          <w:szCs w:val="24"/>
        </w:rPr>
        <w:t xml:space="preserve">3. Юридическому управлению:</w:t>
      </w:r>
    </w:p>
    <w:p>
      <w:pPr>
        <w:spacing w:after="60"/>
        <w:ind w:firstLine="567"/>
        <w:jc w:val="both"/>
      </w:pPr>
      <w:r>
        <w:rPr>
          <w:rFonts w:ascii="Arial" w:cs="Arial" w:eastAsia="Arial" w:hAnsi="Arial"/>
          <w:sz w:val="24"/>
          <w:szCs w:val="24"/>
        </w:rPr>
        <w:t xml:space="preserve">- опубликовать настоящее постановление на официальном сайте Национального банка Кыргызской Республики;</w:t>
      </w:r>
    </w:p>
    <w:p>
      <w:pPr>
        <w:spacing w:after="6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4. Управлению методологии надзора и лицензирования довести настоящее постановление до сведения коммерческих банков, ОЮЛ "Союз банков Кыргызстана", областных управлений и Представительства Национального банка Кыргызской Республики в Баткенской области.</w:t>
      </w:r>
    </w:p>
    <w:p>
      <w:pPr>
        <w:spacing w:after="60"/>
        <w:ind w:firstLine="567"/>
        <w:jc w:val="both"/>
      </w:pPr>
      <w:r>
        <w:rPr>
          <w:rFonts w:ascii="Arial" w:cs="Arial" w:eastAsia="Arial" w:hAnsi="Arial"/>
          <w:sz w:val="24"/>
          <w:szCs w:val="24"/>
        </w:rPr>
        <w:t xml:space="preserve">5. Контроль за исполнением настоящего постановления возложить на члена Правления Национального банка Кыргызской Республики Т.Джусупова.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постановлению Правления Национального банка Кыргызской Республики
 от 15 июня 2017 года № 2017-П-12/25-7-(НПА)</w:t>
      </w:r>
    </w:p>
    <w:p>
      <w:pPr>
        <w:spacing w:after="400" w:before="400"/>
        <w:jc w:val="center"/>
      </w:pPr>
      <w:r>
        <w:rPr>
          <w:rFonts w:ascii="Arial" w:cs="Arial" w:eastAsia="Arial" w:hAnsi="Arial"/>
          <w:b/>
          <w:bCs/>
          <w:sz w:val="24"/>
          <w:szCs w:val="24"/>
        </w:rPr>
        <w:t xml:space="preserve">ИЗМЕНЕНИЯ И ДОПОЛНЕНИЯ</w:t>
      </w:r>
      <w:r>
        <w:rPr>
          <w:rFonts w:ascii="Arial" w:cs="Arial" w:eastAsia="Arial" w:hAnsi="Arial"/>
          <w:b/>
          <w:bCs/>
          <w:sz w:val="24"/>
          <w:szCs w:val="24"/>
        </w:rPr>
        <w:t xml:space="preserve">
 в некоторые нормативные правовые акты Национального банка Кыргызской Республики</w:t>
      </w:r>
    </w:p>
    <w:p>
      <w:pPr>
        <w:spacing w:after="60"/>
        <w:ind w:firstLine="567"/>
        <w:jc w:val="both"/>
      </w:pPr>
      <w:r>
        <w:rPr>
          <w:rFonts w:ascii="Arial" w:cs="Arial" w:eastAsia="Arial" w:hAnsi="Arial"/>
          <w:sz w:val="24"/>
          <w:szCs w:val="24"/>
        </w:rPr>
        <w:t xml:space="preserve">1. Внести в </w:t>
      </w:r>
      <w:hyperlink w:history="1" r:id="rIdjmfr297f1dpgw1ckkzfm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mirc7ax4b0uyhhw3yxono">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рыночным риском в коммерческих банках и других финансово-кредитных учреждениях, лицензируемых Национальным банком Кыргызской Республики" от 28 июня 2006 года № 19/2 следующие изменения и дополнение:</w:t>
      </w:r>
    </w:p>
    <w:p>
      <w:pPr>
        <w:spacing w:after="60"/>
        <w:ind w:firstLine="567"/>
        <w:jc w:val="both"/>
      </w:pPr>
      <w:r>
        <w:rPr>
          <w:rFonts w:ascii="Arial" w:cs="Arial" w:eastAsia="Arial" w:hAnsi="Arial"/>
          <w:sz w:val="24"/>
          <w:szCs w:val="24"/>
        </w:rPr>
        <w:t xml:space="preserve">- в наименовании, в преамбуле и в пункте 1 </w:t>
      </w:r>
      <w:hyperlink w:history="1" r:id="rIdpz0rteoo_xozr9si3ny4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слова "финансово-кредитных учреждениях" заменить словами "финансово-кредитных организациях";</w:t>
      </w:r>
    </w:p>
    <w:p>
      <w:pPr>
        <w:spacing w:after="60"/>
        <w:ind w:firstLine="567"/>
        <w:jc w:val="both"/>
      </w:pPr>
      <w:r>
        <w:rPr>
          <w:rFonts w:ascii="Arial" w:cs="Arial" w:eastAsia="Arial" w:hAnsi="Arial"/>
          <w:sz w:val="24"/>
          <w:szCs w:val="24"/>
        </w:rPr>
        <w:t xml:space="preserve">в </w:t>
      </w:r>
      <w:hyperlink w:history="1" r:id="rIdbzocw8_7bqcguv0q1k2gt">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по управлению рыночным риском в коммерческих банках и других финансово-кредитных учреждениях, лицензируемых Национальным банком Кыргызской Республики", утвержденном вышеуказанным </w:t>
      </w:r>
      <w:hyperlink w:history="1" r:id="rIdqearoahr7feidkqgttro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наименовании </w:t>
      </w:r>
      <w:hyperlink w:history="1" r:id="rIde1lh3sqipencbhcl_glnd">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и в наименовании </w:t>
      </w:r>
      <w:hyperlink w:history="1" r:id="rId0mqtslmzqmcvtfmi89v9b">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нему слова "финансово-кредитных учреждениях" заменить словами "финансово-кредитных организациях";</w:t>
      </w:r>
    </w:p>
    <w:p>
      <w:pPr>
        <w:spacing w:after="60"/>
        <w:ind w:firstLine="567"/>
        <w:jc w:val="both"/>
      </w:pPr>
      <w:r>
        <w:rPr>
          <w:rFonts w:ascii="Arial" w:cs="Arial" w:eastAsia="Arial" w:hAnsi="Arial"/>
          <w:sz w:val="24"/>
          <w:szCs w:val="24"/>
        </w:rPr>
        <w:t xml:space="preserve">- пункт 1.1. изложить в следующей редакции:</w:t>
      </w:r>
    </w:p>
    <w:p>
      <w:pPr>
        <w:spacing w:after="60"/>
        <w:ind w:firstLine="567"/>
        <w:jc w:val="both"/>
      </w:pPr>
      <w:r>
        <w:rPr>
          <w:rFonts w:ascii="Arial" w:cs="Arial" w:eastAsia="Arial" w:hAnsi="Arial"/>
          <w:sz w:val="24"/>
          <w:szCs w:val="24"/>
        </w:rPr>
        <w:t xml:space="preserve">"1.1. Настоящее </w:t>
      </w:r>
      <w:r>
        <w:rPr>
          <w:rFonts w:ascii="Arial" w:cs="Arial" w:eastAsia="Arial" w:hAnsi="Arial"/>
          <w:sz w:val="24"/>
          <w:szCs w:val="24"/>
        </w:rPr>
        <w:t xml:space="preserve">Положение</w:t>
      </w:r>
      <w:r>
        <w:rPr>
          <w:rFonts w:ascii="Arial" w:cs="Arial" w:eastAsia="Arial" w:hAnsi="Arial"/>
          <w:sz w:val="24"/>
          <w:szCs w:val="24"/>
        </w:rPr>
        <w:t xml:space="preserve"> устанавливает обязательные для соблюдения коммерческими банками и Государственным банком развития Кыргызской Республики (далее - банки) минимальные требования к организации управления рыночным риском.";</w:t>
      </w:r>
    </w:p>
    <w:p>
      <w:pPr>
        <w:spacing w:after="60"/>
        <w:ind w:firstLine="567"/>
        <w:jc w:val="both"/>
      </w:pPr>
      <w:r>
        <w:rPr>
          <w:rFonts w:ascii="Arial" w:cs="Arial" w:eastAsia="Arial" w:hAnsi="Arial"/>
          <w:sz w:val="24"/>
          <w:szCs w:val="24"/>
        </w:rPr>
        <w:t xml:space="preserve">- пункт 1.2. изложить в следующей редакции:</w:t>
      </w:r>
    </w:p>
    <w:p>
      <w:pPr>
        <w:spacing w:after="60"/>
        <w:ind w:firstLine="567"/>
        <w:jc w:val="both"/>
      </w:pPr>
      <w:r>
        <w:rPr>
          <w:rFonts w:ascii="Arial" w:cs="Arial" w:eastAsia="Arial" w:hAnsi="Arial"/>
          <w:sz w:val="24"/>
          <w:szCs w:val="24"/>
        </w:rPr>
        <w:t xml:space="preserve">"1.2. </w:t>
      </w:r>
      <w:r>
        <w:rPr>
          <w:rFonts w:ascii="Arial" w:cs="Arial" w:eastAsia="Arial" w:hAnsi="Arial"/>
          <w:sz w:val="24"/>
          <w:szCs w:val="24"/>
        </w:rPr>
        <w:t xml:space="preserve">Положение</w:t>
      </w:r>
      <w:r>
        <w:rPr>
          <w:rFonts w:ascii="Arial" w:cs="Arial" w:eastAsia="Arial" w:hAnsi="Arial"/>
          <w:sz w:val="24"/>
          <w:szCs w:val="24"/>
        </w:rPr>
        <w:t xml:space="preserve"> определяет основные элементы и принципы управления рыночным риском в соответствии со стандартами благоразумной банковской практики, и являющиеся дополнительным руководством для банков по минимальным требованиям к системе управления рисками (см. Примечание 1), которые предусматривают, как минимум, следующее:</w:t>
      </w:r>
    </w:p>
    <w:p>
      <w:pPr>
        <w:spacing w:after="60"/>
        <w:ind w:firstLine="567"/>
        <w:jc w:val="both"/>
      </w:pPr>
      <w:r>
        <w:rPr>
          <w:rFonts w:ascii="Arial" w:cs="Arial" w:eastAsia="Arial" w:hAnsi="Arial"/>
          <w:sz w:val="24"/>
          <w:szCs w:val="24"/>
        </w:rPr>
        <w:t xml:space="preserve">- цели и задачи управления рыночным риском;</w:t>
      </w:r>
    </w:p>
    <w:p>
      <w:pPr>
        <w:spacing w:after="60"/>
        <w:ind w:firstLine="567"/>
        <w:jc w:val="both"/>
      </w:pPr>
      <w:r>
        <w:rPr>
          <w:rFonts w:ascii="Arial" w:cs="Arial" w:eastAsia="Arial" w:hAnsi="Arial"/>
          <w:sz w:val="24"/>
          <w:szCs w:val="24"/>
        </w:rPr>
        <w:t xml:space="preserve">- порядок выявления, оценки, определения приемлемого уровня рыночного риска и мониторинга за уровнем рыночного риска, в том числе на консолидированной основе;</w:t>
      </w:r>
    </w:p>
    <w:p>
      <w:pPr>
        <w:spacing w:after="60"/>
        <w:ind w:firstLine="567"/>
        <w:jc w:val="both"/>
      </w:pPr>
      <w:r>
        <w:rPr>
          <w:rFonts w:ascii="Arial" w:cs="Arial" w:eastAsia="Arial" w:hAnsi="Arial"/>
          <w:sz w:val="24"/>
          <w:szCs w:val="24"/>
        </w:rPr>
        <w:t xml:space="preserve">- принятие мер по поддержанию приемлемого уровня рыночного риска, включающих в том числе контроль и/или минимизацию риска;</w:t>
      </w:r>
    </w:p>
    <w:p>
      <w:pPr>
        <w:spacing w:after="60"/>
        <w:ind w:firstLine="567"/>
        <w:jc w:val="both"/>
      </w:pPr>
      <w:r>
        <w:rPr>
          <w:rFonts w:ascii="Arial" w:cs="Arial" w:eastAsia="Arial" w:hAnsi="Arial"/>
          <w:sz w:val="24"/>
          <w:szCs w:val="24"/>
        </w:rPr>
        <w:t xml:space="preserve">- порядок информационного обеспечения по вопросам рыночного риска (порядок обмена информацией между подразделениями и служащими, порядок и периодичность представления отчетной и иной информации по вопросам управления рыночным риском);</w:t>
      </w:r>
    </w:p>
    <w:p>
      <w:pPr>
        <w:spacing w:after="60"/>
        <w:ind w:firstLine="567"/>
        <w:jc w:val="both"/>
      </w:pPr>
      <w:r>
        <w:rPr>
          <w:rFonts w:ascii="Arial" w:cs="Arial" w:eastAsia="Arial" w:hAnsi="Arial"/>
          <w:sz w:val="24"/>
          <w:szCs w:val="24"/>
        </w:rPr>
        <w:t xml:space="preserve">- порядок управления рыночным риском при изменении структуры финансовых инструментов, их количественных и стоимостных показателей, разработке и внедрении новых технологий и условий осуществления банковских операций и других сделок, иных финансовых инноваций и технологий, при выходе на новые рынки;</w:t>
      </w:r>
    </w:p>
    <w:p>
      <w:pPr>
        <w:spacing w:after="60"/>
        <w:ind w:firstLine="567"/>
        <w:jc w:val="both"/>
      </w:pPr>
      <w:r>
        <w:rPr>
          <w:rFonts w:ascii="Arial" w:cs="Arial" w:eastAsia="Arial" w:hAnsi="Arial"/>
          <w:sz w:val="24"/>
          <w:szCs w:val="24"/>
        </w:rPr>
        <w:t xml:space="preserve">- распределение полномочий и ответственности между Советом директоров, исполнительными органами, подразделениями и служащими в части реализации основных принципов управления рыночным риском;</w:t>
      </w:r>
    </w:p>
    <w:p>
      <w:pPr>
        <w:spacing w:after="60"/>
        <w:ind w:firstLine="567"/>
        <w:jc w:val="both"/>
      </w:pPr>
      <w:r>
        <w:rPr>
          <w:rFonts w:ascii="Arial" w:cs="Arial" w:eastAsia="Arial" w:hAnsi="Arial"/>
          <w:sz w:val="24"/>
          <w:szCs w:val="24"/>
        </w:rPr>
        <w:t xml:space="preserve">- порядок осуществления контроля за эффективностью управления рыночным риском.";</w:t>
      </w:r>
    </w:p>
    <w:p>
      <w:pPr>
        <w:spacing w:after="60"/>
        <w:ind w:firstLine="567"/>
        <w:jc w:val="both"/>
      </w:pPr>
      <w:r>
        <w:rPr>
          <w:rFonts w:ascii="Arial" w:cs="Arial" w:eastAsia="Arial" w:hAnsi="Arial"/>
          <w:sz w:val="24"/>
          <w:szCs w:val="24"/>
        </w:rPr>
        <w:t xml:space="preserve">- примечание 1 к пункту 1.2. изложить в следующей редакции:</w:t>
      </w:r>
    </w:p>
    <w:p>
      <w:pPr>
        <w:spacing w:after="60"/>
        <w:ind w:firstLine="567"/>
        <w:jc w:val="both"/>
      </w:pPr>
      <w:r>
        <w:rPr>
          <w:rFonts w:ascii="Arial" w:cs="Arial" w:eastAsia="Arial" w:hAnsi="Arial"/>
          <w:sz w:val="24"/>
          <w:szCs w:val="24"/>
        </w:rPr>
        <w:t xml:space="preserve">"Примечание 1. В соответствии с Положением "О минимальных требованиях по управлению рисками в банках Кыргызской Республики", утверждаемым постановлением Правления Национального банка Кыргызской Республики.";</w:t>
      </w:r>
    </w:p>
    <w:p>
      <w:pPr>
        <w:spacing w:after="60"/>
        <w:ind w:firstLine="567"/>
        <w:jc w:val="both"/>
      </w:pPr>
      <w:r>
        <w:rPr>
          <w:rFonts w:ascii="Arial" w:cs="Arial" w:eastAsia="Arial" w:hAnsi="Arial"/>
          <w:sz w:val="24"/>
          <w:szCs w:val="24"/>
        </w:rPr>
        <w:t xml:space="preserve">- пункт 2.2 дополнить подпунктом 2.2.4. следующего содержания:</w:t>
      </w:r>
    </w:p>
    <w:p>
      <w:pPr>
        <w:spacing w:after="60"/>
        <w:ind w:firstLine="567"/>
        <w:jc w:val="both"/>
      </w:pPr>
      <w:r>
        <w:rPr>
          <w:rFonts w:ascii="Arial" w:cs="Arial" w:eastAsia="Arial" w:hAnsi="Arial"/>
          <w:sz w:val="24"/>
          <w:szCs w:val="24"/>
        </w:rPr>
        <w:t xml:space="preserve">"2.2.4. Риск кривой доходности - это риск, который возникает в результате колебаний процентной ставки до срока погашения. Он влечет за собой изменения в соотношении между процентными ставками разных сроков погашений одного и того же индекса или рынка.</w:t>
      </w:r>
    </w:p>
    <w:p>
      <w:pPr>
        <w:spacing w:after="60"/>
        <w:ind w:firstLine="567"/>
        <w:jc w:val="both"/>
      </w:pPr>
      <w:r>
        <w:rPr>
          <w:rFonts w:ascii="Arial" w:cs="Arial" w:eastAsia="Arial" w:hAnsi="Arial"/>
          <w:sz w:val="24"/>
          <w:szCs w:val="24"/>
        </w:rPr>
        <w:t xml:space="preserve">Изменения кривой доходности могут подчеркнуть риск позиции банка, усилив при этом эффект несовпадения сроков.";</w:t>
      </w:r>
    </w:p>
    <w:p>
      <w:pPr>
        <w:spacing w:after="60"/>
        <w:ind w:firstLine="567"/>
        <w:jc w:val="both"/>
      </w:pPr>
      <w:r>
        <w:rPr>
          <w:rFonts w:ascii="Arial" w:cs="Arial" w:eastAsia="Arial" w:hAnsi="Arial"/>
          <w:sz w:val="24"/>
          <w:szCs w:val="24"/>
        </w:rPr>
        <w:t xml:space="preserve">- в пункте 3.10 аббревиатуру "НБКР" заменить словами "Национальный банк Кыргызской Республики";</w:t>
      </w:r>
    </w:p>
    <w:p>
      <w:pPr>
        <w:spacing w:after="60"/>
        <w:ind w:firstLine="567"/>
        <w:jc w:val="both"/>
      </w:pPr>
      <w:r>
        <w:rPr>
          <w:rFonts w:ascii="Arial" w:cs="Arial" w:eastAsia="Arial" w:hAnsi="Arial"/>
          <w:sz w:val="24"/>
          <w:szCs w:val="24"/>
        </w:rPr>
        <w:t xml:space="preserve">- примечание 6 к подпункту 5.2.1 изложить в следующей редакции:</w:t>
      </w:r>
    </w:p>
    <w:p>
      <w:pPr>
        <w:spacing w:after="60"/>
        <w:ind w:firstLine="567"/>
        <w:jc w:val="both"/>
      </w:pPr>
      <w:r>
        <w:rPr>
          <w:rFonts w:ascii="Arial" w:cs="Arial" w:eastAsia="Arial" w:hAnsi="Arial"/>
          <w:sz w:val="24"/>
          <w:szCs w:val="24"/>
        </w:rPr>
        <w:t xml:space="preserve">"Примечание 6. В соответствии с Инструкцией "О порядке соблюдения лимитов открытой валютной позиции и открытой позиции в драгоценных металлах коммерческими банками на территории Кыргызской Республики, утверждаемой постановлением Правления Национального банка Кыргызской Республики.".</w:t>
      </w:r>
    </w:p>
    <w:p>
      <w:pPr>
        <w:spacing w:after="60"/>
        <w:ind w:firstLine="567"/>
        <w:jc w:val="both"/>
      </w:pPr>
      <w:r>
        <w:rPr>
          <w:rFonts w:ascii="Arial" w:cs="Arial" w:eastAsia="Arial" w:hAnsi="Arial"/>
          <w:sz w:val="24"/>
          <w:szCs w:val="24"/>
        </w:rPr>
        <w:t xml:space="preserve">2. Внести в </w:t>
      </w:r>
      <w:hyperlink w:history="1" r:id="rIdnim7jj70suceeiazkcdn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zjuksheubq28-ji3z8d7g">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страновым риском в коммерческих банках и иных финансово-кредитных учреждениях, лицензируемых Национальным банком Кыргызской Республики" от 28 июня 2006 года № 19/3 следующие изменения:</w:t>
      </w:r>
    </w:p>
    <w:p>
      <w:pPr>
        <w:spacing w:after="60"/>
        <w:ind w:firstLine="567"/>
        <w:jc w:val="both"/>
      </w:pPr>
      <w:r>
        <w:rPr>
          <w:rFonts w:ascii="Arial" w:cs="Arial" w:eastAsia="Arial" w:hAnsi="Arial"/>
          <w:sz w:val="24"/>
          <w:szCs w:val="24"/>
        </w:rPr>
        <w:t xml:space="preserve">- в наименовании, в преамбуле и в пункте 1 </w:t>
      </w:r>
      <w:hyperlink w:history="1" r:id="rId-zgzab4-ckb50r6tdjsb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слова "финансово-кредитных учреждениях" заменить словами "финансово-кредитных организациях";</w:t>
      </w:r>
    </w:p>
    <w:p>
      <w:pPr>
        <w:spacing w:after="60"/>
        <w:ind w:firstLine="567"/>
        <w:jc w:val="both"/>
      </w:pPr>
      <w:r>
        <w:rPr>
          <w:rFonts w:ascii="Arial" w:cs="Arial" w:eastAsia="Arial" w:hAnsi="Arial"/>
          <w:sz w:val="24"/>
          <w:szCs w:val="24"/>
        </w:rPr>
        <w:t xml:space="preserve">в </w:t>
      </w:r>
      <w:hyperlink w:history="1" r:id="rIdnzka-r6ux-vs7wry80gcy">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по управлению страновым риском в коммерческих банках и иных финансово-кредитных учреждениях, лицензируемых Национальным банком Кыргызской Республики, утвержденном вышеуказанным </w:t>
      </w:r>
      <w:hyperlink w:history="1" r:id="rIdczm8jc76xum5v2uplvrr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наименовании Положения слова "финансово-кредитных учреждениях" заменить словами "финансово-кредитных организациях";</w:t>
      </w:r>
    </w:p>
    <w:p>
      <w:pPr>
        <w:spacing w:after="60"/>
        <w:ind w:firstLine="567"/>
        <w:jc w:val="both"/>
      </w:pPr>
      <w:r>
        <w:rPr>
          <w:rFonts w:ascii="Arial" w:cs="Arial" w:eastAsia="Arial" w:hAnsi="Arial"/>
          <w:sz w:val="24"/>
          <w:szCs w:val="24"/>
        </w:rPr>
        <w:t xml:space="preserve">- пункт 1.1. изложить в следующей редакции:</w:t>
      </w:r>
    </w:p>
    <w:p>
      <w:pPr>
        <w:spacing w:after="60"/>
        <w:ind w:firstLine="567"/>
        <w:jc w:val="both"/>
      </w:pPr>
      <w:r>
        <w:rPr>
          <w:rFonts w:ascii="Arial" w:cs="Arial" w:eastAsia="Arial" w:hAnsi="Arial"/>
          <w:sz w:val="24"/>
          <w:szCs w:val="24"/>
        </w:rPr>
        <w:t xml:space="preserve">"1.1. Настоящее </w:t>
      </w:r>
      <w:r>
        <w:rPr>
          <w:rFonts w:ascii="Arial" w:cs="Arial" w:eastAsia="Arial" w:hAnsi="Arial"/>
          <w:sz w:val="24"/>
          <w:szCs w:val="24"/>
        </w:rPr>
        <w:t xml:space="preserve">Положение</w:t>
      </w:r>
      <w:r>
        <w:rPr>
          <w:rFonts w:ascii="Arial" w:cs="Arial" w:eastAsia="Arial" w:hAnsi="Arial"/>
          <w:sz w:val="24"/>
          <w:szCs w:val="24"/>
        </w:rPr>
        <w:t xml:space="preserve"> устанавливает обязательные для соблюдения коммерческими банками и Государственным банком развития Кыргызской Республики (далее - банки) минимальные требования к организации управления страновым риском.";</w:t>
      </w:r>
    </w:p>
    <w:p>
      <w:pPr>
        <w:spacing w:after="60"/>
        <w:ind w:firstLine="567"/>
        <w:jc w:val="both"/>
      </w:pPr>
      <w:r>
        <w:rPr>
          <w:rFonts w:ascii="Arial" w:cs="Arial" w:eastAsia="Arial" w:hAnsi="Arial"/>
          <w:sz w:val="24"/>
          <w:szCs w:val="24"/>
        </w:rPr>
        <w:t xml:space="preserve">- пункт 1.2. изложить в следующей редакции:</w:t>
      </w:r>
    </w:p>
    <w:p>
      <w:pPr>
        <w:spacing w:after="60"/>
        <w:ind w:firstLine="567"/>
        <w:jc w:val="both"/>
      </w:pPr>
      <w:r>
        <w:rPr>
          <w:rFonts w:ascii="Arial" w:cs="Arial" w:eastAsia="Arial" w:hAnsi="Arial"/>
          <w:sz w:val="24"/>
          <w:szCs w:val="24"/>
        </w:rPr>
        <w:t xml:space="preserve">"1.2. Целью настоящего </w:t>
      </w:r>
      <w:r>
        <w:rPr>
          <w:rFonts w:ascii="Arial" w:cs="Arial" w:eastAsia="Arial" w:hAnsi="Arial"/>
          <w:sz w:val="24"/>
          <w:szCs w:val="24"/>
        </w:rPr>
        <w:t xml:space="preserve">Положения</w:t>
      </w:r>
      <w:r>
        <w:rPr>
          <w:rFonts w:ascii="Arial" w:cs="Arial" w:eastAsia="Arial" w:hAnsi="Arial"/>
          <w:sz w:val="24"/>
          <w:szCs w:val="24"/>
        </w:rPr>
        <w:t xml:space="preserve"> является установление минимальных требований к политикам, процедурам и внутреннему контролю в банках для формирования в банках адекватной системы управления страновым риском, включая риск перевода (трансфертный риск) и суверенный риск, которые предусматривают, как минимум, следующее:</w:t>
      </w:r>
    </w:p>
    <w:p>
      <w:pPr>
        <w:spacing w:after="60"/>
        <w:ind w:firstLine="567"/>
        <w:jc w:val="both"/>
      </w:pPr>
      <w:r>
        <w:rPr>
          <w:rFonts w:ascii="Arial" w:cs="Arial" w:eastAsia="Arial" w:hAnsi="Arial"/>
          <w:sz w:val="24"/>
          <w:szCs w:val="24"/>
        </w:rPr>
        <w:t xml:space="preserve">- задачи управления страновым риском;</w:t>
      </w:r>
    </w:p>
    <w:p>
      <w:pPr>
        <w:spacing w:after="60"/>
        <w:ind w:firstLine="567"/>
        <w:jc w:val="both"/>
      </w:pPr>
      <w:r>
        <w:rPr>
          <w:rFonts w:ascii="Arial" w:cs="Arial" w:eastAsia="Arial" w:hAnsi="Arial"/>
          <w:sz w:val="24"/>
          <w:szCs w:val="24"/>
        </w:rPr>
        <w:t xml:space="preserve">- порядок выявления, оценки, определения приемлемого уровня странового риска и мониторинга за уровнем странового риска, в том числе на консолидированной основе;</w:t>
      </w:r>
    </w:p>
    <w:p>
      <w:pPr>
        <w:spacing w:after="60"/>
        <w:ind w:firstLine="567"/>
        <w:jc w:val="both"/>
      </w:pPr>
      <w:r>
        <w:rPr>
          <w:rFonts w:ascii="Arial" w:cs="Arial" w:eastAsia="Arial" w:hAnsi="Arial"/>
          <w:sz w:val="24"/>
          <w:szCs w:val="24"/>
        </w:rPr>
        <w:t xml:space="preserve">- принятие мер по поддержанию приемлемого уровня странового риска, включающих в том числе контроль и/или минимизацию риска;</w:t>
      </w:r>
    </w:p>
    <w:p>
      <w:pPr>
        <w:spacing w:after="60"/>
        <w:ind w:firstLine="567"/>
        <w:jc w:val="both"/>
      </w:pPr>
      <w:r>
        <w:rPr>
          <w:rFonts w:ascii="Arial" w:cs="Arial" w:eastAsia="Arial" w:hAnsi="Arial"/>
          <w:sz w:val="24"/>
          <w:szCs w:val="24"/>
        </w:rPr>
        <w:t xml:space="preserve">- порядок информационного обеспечения по вопросам странового риска (порядок обмена информацией между подразделениями и служащими, порядок и периодичность представления отчетной и иной информации по вопросам управления страновым риском);</w:t>
      </w:r>
    </w:p>
    <w:p>
      <w:pPr>
        <w:spacing w:after="60"/>
        <w:ind w:firstLine="567"/>
        <w:jc w:val="both"/>
      </w:pPr>
      <w:r>
        <w:rPr>
          <w:rFonts w:ascii="Arial" w:cs="Arial" w:eastAsia="Arial" w:hAnsi="Arial"/>
          <w:sz w:val="24"/>
          <w:szCs w:val="24"/>
        </w:rPr>
        <w:t xml:space="preserve">- порядок управления страновым риском при осуществлении валютного банковского обслуживания, при разработке и внедрении новых форм и условий осуществления банковских операций и других сделок, финансовых инноваций и технологий, при выходе на новые рынки (по видам услуг, по видам валют и по территориальной (страновой) принадлежности);</w:t>
      </w:r>
    </w:p>
    <w:p>
      <w:pPr>
        <w:spacing w:after="60"/>
        <w:ind w:firstLine="567"/>
        <w:jc w:val="both"/>
      </w:pPr>
      <w:r>
        <w:rPr>
          <w:rFonts w:ascii="Arial" w:cs="Arial" w:eastAsia="Arial" w:hAnsi="Arial"/>
          <w:sz w:val="24"/>
          <w:szCs w:val="24"/>
        </w:rPr>
        <w:t xml:space="preserve">- распределение полномочий и ответственности между Советом директоров, исполнительными органами, подразделениями и служащими в части реализации основных принципов управления страновым риском;</w:t>
      </w:r>
    </w:p>
    <w:p>
      <w:pPr>
        <w:spacing w:after="60"/>
        <w:ind w:firstLine="567"/>
        <w:jc w:val="both"/>
      </w:pPr>
      <w:r>
        <w:rPr>
          <w:rFonts w:ascii="Arial" w:cs="Arial" w:eastAsia="Arial" w:hAnsi="Arial"/>
          <w:sz w:val="24"/>
          <w:szCs w:val="24"/>
        </w:rPr>
        <w:t xml:space="preserve">- порядок осуществления контроля за эффективностью управления страновым риском.";</w:t>
      </w:r>
    </w:p>
    <w:p>
      <w:pPr>
        <w:spacing w:after="60"/>
        <w:ind w:firstLine="567"/>
        <w:jc w:val="both"/>
      </w:pPr>
      <w:r>
        <w:rPr>
          <w:rFonts w:ascii="Arial" w:cs="Arial" w:eastAsia="Arial" w:hAnsi="Arial"/>
          <w:sz w:val="24"/>
          <w:szCs w:val="24"/>
        </w:rPr>
        <w:t xml:space="preserve">- подпункт 2.3.2. изложить в следующей редакции:</w:t>
      </w:r>
    </w:p>
    <w:p>
      <w:pPr>
        <w:spacing w:after="60"/>
        <w:ind w:firstLine="567"/>
        <w:jc w:val="both"/>
      </w:pPr>
      <w:r>
        <w:rPr>
          <w:rFonts w:ascii="Arial" w:cs="Arial" w:eastAsia="Arial" w:hAnsi="Arial"/>
          <w:sz w:val="24"/>
          <w:szCs w:val="24"/>
        </w:rPr>
        <w:t xml:space="preserve">"2.3.2. Суверенный риск - риск возможных прямых или косвенных потерь, которому подвержен банк или любая из его дочерних компаний в результате неспособности или нежелания иностранного правительства погашать свои обязательства и обслуживать свои долги в соответствии с условиями, оговоренными договорами. Суверенный риск может возникнуть, например, в результате нехватки иностранной валюты или нежелания обслуживать свой государственный долг.";</w:t>
      </w:r>
    </w:p>
    <w:p>
      <w:pPr>
        <w:spacing w:after="60"/>
        <w:ind w:firstLine="567"/>
        <w:jc w:val="both"/>
      </w:pPr>
      <w:r>
        <w:rPr>
          <w:rFonts w:ascii="Arial" w:cs="Arial" w:eastAsia="Arial" w:hAnsi="Arial"/>
          <w:sz w:val="24"/>
          <w:szCs w:val="24"/>
        </w:rPr>
        <w:t xml:space="preserve">- в пункте 4.10. слово "учреждения" заменить словом "организации".</w:t>
      </w:r>
    </w:p>
    <w:p>
      <w:pPr>
        <w:spacing w:after="60"/>
        <w:ind w:firstLine="567"/>
        <w:jc w:val="both"/>
      </w:pPr>
      <w:r>
        <w:rPr>
          <w:rFonts w:ascii="Arial" w:cs="Arial" w:eastAsia="Arial" w:hAnsi="Arial"/>
          <w:sz w:val="24"/>
          <w:szCs w:val="24"/>
        </w:rPr>
        <w:t xml:space="preserve">3. Внести в постановление Правления Национального банка Кыргызской Республики "Об утверждении Положения "О минимальных требованиях по управлению операционным риском в коммерческих банках Кыргызской Республики" от 15 декабря 2005 года № 37/5 следующие изменение и дополнение:</w:t>
      </w:r>
    </w:p>
    <w:p>
      <w:pPr>
        <w:spacing w:after="60"/>
        <w:ind w:firstLine="567"/>
        <w:jc w:val="both"/>
      </w:pPr>
      <w:r>
        <w:rPr>
          <w:rFonts w:ascii="Arial" w:cs="Arial" w:eastAsia="Arial" w:hAnsi="Arial"/>
          <w:sz w:val="24"/>
          <w:szCs w:val="24"/>
        </w:rPr>
        <w:t xml:space="preserve">в Положении "О минимальных требованиях по управлению операционным риском в коммерческих банках Кыргызской Республики", утвержденном вышеуказанным постановлением:</w:t>
      </w:r>
    </w:p>
    <w:p>
      <w:pPr>
        <w:spacing w:after="60"/>
        <w:ind w:firstLine="567"/>
        <w:jc w:val="both"/>
      </w:pPr>
      <w:r>
        <w:rPr>
          <w:rFonts w:ascii="Arial" w:cs="Arial" w:eastAsia="Arial" w:hAnsi="Arial"/>
          <w:sz w:val="24"/>
          <w:szCs w:val="24"/>
        </w:rPr>
        <w:t xml:space="preserve">- пункт 1.1. изложить в следующей редакции:</w:t>
      </w:r>
    </w:p>
    <w:p>
      <w:pPr>
        <w:spacing w:after="60"/>
        <w:ind w:firstLine="567"/>
        <w:jc w:val="both"/>
      </w:pPr>
      <w:r>
        <w:rPr>
          <w:rFonts w:ascii="Arial" w:cs="Arial" w:eastAsia="Arial" w:hAnsi="Arial"/>
          <w:sz w:val="24"/>
          <w:szCs w:val="24"/>
        </w:rPr>
        <w:t xml:space="preserve">"Настоящее Положение устанавливает обязательные для соблюдения коммерческими банками и Государственным банком развития Кыргызской Республики (далее - банки) минимальные требования к организации управления операционным риском.";</w:t>
      </w:r>
    </w:p>
    <w:p>
      <w:pPr>
        <w:spacing w:after="60"/>
        <w:ind w:firstLine="567"/>
        <w:jc w:val="both"/>
      </w:pPr>
      <w:r>
        <w:rPr>
          <w:rFonts w:ascii="Arial" w:cs="Arial" w:eastAsia="Arial" w:hAnsi="Arial"/>
          <w:sz w:val="24"/>
          <w:szCs w:val="24"/>
        </w:rPr>
        <w:t xml:space="preserve">- пункт 2.2. дополнить абзацем четвертым следующего содержания:</w:t>
      </w:r>
    </w:p>
    <w:p>
      <w:pPr>
        <w:spacing w:after="60"/>
        <w:ind w:firstLine="567"/>
        <w:jc w:val="both"/>
      </w:pPr>
      <w:r>
        <w:rPr>
          <w:rFonts w:ascii="Arial" w:cs="Arial" w:eastAsia="Arial" w:hAnsi="Arial"/>
          <w:sz w:val="24"/>
          <w:szCs w:val="24"/>
        </w:rPr>
        <w:t xml:space="preserve">"- процедура, регламентирующая в случаях наступления форс-мажорных обстоятельств (таких как, стихийные бедствия (наводнения, землетрясения, бури, пожары и иные природные либо техногенные катастрофы), технические катастрофы, эпидемии, введение чрезвычайного положения, массовые беспорядки, мародерство, военные действия и т.п.) порядок перевода работы на резервный центр (при наличии), и взаимодействие персонала системы;";</w:t>
      </w:r>
    </w:p>
    <w:p>
      <w:pPr>
        <w:spacing w:after="60"/>
        <w:ind w:firstLine="567"/>
        <w:jc w:val="both"/>
      </w:pPr>
      <w:r>
        <w:rPr>
          <w:rFonts w:ascii="Arial" w:cs="Arial" w:eastAsia="Arial" w:hAnsi="Arial"/>
          <w:sz w:val="24"/>
          <w:szCs w:val="24"/>
        </w:rPr>
        <w:t xml:space="preserve">- дополнить пунктом 2.9. следующего содержания:</w:t>
      </w:r>
    </w:p>
    <w:p>
      <w:pPr>
        <w:spacing w:after="60"/>
        <w:ind w:firstLine="567"/>
        <w:jc w:val="both"/>
      </w:pPr>
      <w:r>
        <w:rPr>
          <w:rFonts w:ascii="Arial" w:cs="Arial" w:eastAsia="Arial" w:hAnsi="Arial"/>
          <w:sz w:val="24"/>
          <w:szCs w:val="24"/>
        </w:rPr>
        <w:t xml:space="preserve">"2.9. В целях управления операционными рисками, все банки должны обеспечить комплекс мер для восстановления и возобновления функционирования своих внутренних информационных систем согласно требованиям нормативных правовых актов Национального банка.".</w:t>
      </w:r>
    </w:p>
    <w:p>
      <w:pPr>
        <w:spacing w:after="60"/>
        <w:ind w:firstLine="567"/>
        <w:jc w:val="both"/>
      </w:pPr>
      <w:r>
        <w:rPr>
          <w:rFonts w:ascii="Arial" w:cs="Arial" w:eastAsia="Arial" w:hAnsi="Arial"/>
          <w:sz w:val="24"/>
          <w:szCs w:val="24"/>
        </w:rPr>
        <w:t xml:space="preserve">4. Внести в </w:t>
      </w:r>
      <w:hyperlink w:history="1" r:id="rIdpof6jgcv6enl1l1ckav0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основных требованиях к Комитету по аудиту" от 20 ноября 2003 года № 32/7 следующие изменения:</w:t>
      </w:r>
    </w:p>
    <w:p>
      <w:pPr>
        <w:spacing w:after="60"/>
        <w:ind w:firstLine="567"/>
        <w:jc w:val="both"/>
      </w:pPr>
      <w:r>
        <w:rPr>
          <w:rFonts w:ascii="Arial" w:cs="Arial" w:eastAsia="Arial" w:hAnsi="Arial"/>
          <w:sz w:val="24"/>
          <w:szCs w:val="24"/>
        </w:rPr>
        <w:t xml:space="preserve">в </w:t>
      </w:r>
      <w:hyperlink w:history="1" r:id="rId3xbavrwrygaftl8qzlmh0">
        <w:r>
          <w:rPr>
            <w:rFonts w:ascii="Arial" w:cs="Arial" w:eastAsia="Arial" w:hAnsi="Arial"/>
            <w:color w:val="1D4ED8"/>
            <w:sz w:val="24"/>
            <w:szCs w:val="24"/>
            <w:u w:val="single"/>
          </w:rPr>
          <w:t xml:space="preserve">Основных требованиях</w:t>
        </w:r>
      </w:hyperlink>
      <w:r>
        <w:rPr>
          <w:rFonts w:ascii="Arial" w:cs="Arial" w:eastAsia="Arial" w:hAnsi="Arial"/>
          <w:sz w:val="24"/>
          <w:szCs w:val="24"/>
        </w:rPr>
        <w:t xml:space="preserve"> к Комитету по аудиту, утвержденных вышеуказанным </w:t>
      </w:r>
      <w:hyperlink w:history="1" r:id="rIdfy0emnjf15eusoproiru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1.1. изложить в следующей редакции:</w:t>
      </w:r>
    </w:p>
    <w:p>
      <w:pPr>
        <w:spacing w:after="60"/>
        <w:ind w:firstLine="567"/>
        <w:jc w:val="both"/>
      </w:pPr>
      <w:r>
        <w:rPr>
          <w:rFonts w:ascii="Arial" w:cs="Arial" w:eastAsia="Arial" w:hAnsi="Arial"/>
          <w:sz w:val="24"/>
          <w:szCs w:val="24"/>
        </w:rPr>
        <w:t xml:space="preserve">"1.1. Настоящие </w:t>
      </w:r>
      <w:hyperlink w:history="1" r:id="rIdqg_3dkbdym19aufm3mi7o">
        <w:r>
          <w:rPr>
            <w:rFonts w:ascii="Arial" w:cs="Arial" w:eastAsia="Arial" w:hAnsi="Arial"/>
            <w:color w:val="1D4ED8"/>
            <w:sz w:val="24"/>
            <w:szCs w:val="24"/>
            <w:u w:val="single"/>
          </w:rPr>
          <w:t xml:space="preserve">Основные требования</w:t>
        </w:r>
      </w:hyperlink>
      <w:r>
        <w:rPr>
          <w:rFonts w:ascii="Arial" w:cs="Arial" w:eastAsia="Arial" w:hAnsi="Arial"/>
          <w:sz w:val="24"/>
          <w:szCs w:val="24"/>
        </w:rPr>
        <w:t xml:space="preserve"> устанавливают обязательные для соблюдения коммерческими банками, а также банками, осуществляющими операции в соответствии с исламскими принципами банковского дела и финансирования, ОАО "Финансовая компания кредитных союзов" и Государственным банком развития Кыргызской Республики (далее - банки) минимальные требования к организации управления рыночным риском.";</w:t>
      </w:r>
    </w:p>
    <w:p>
      <w:pPr>
        <w:spacing w:after="60"/>
        <w:ind w:firstLine="567"/>
        <w:jc w:val="both"/>
      </w:pPr>
      <w:r>
        <w:rPr>
          <w:rFonts w:ascii="Arial" w:cs="Arial" w:eastAsia="Arial" w:hAnsi="Arial"/>
          <w:sz w:val="24"/>
          <w:szCs w:val="24"/>
        </w:rPr>
        <w:t xml:space="preserve">- пункт 3.1. изложить в следующей редакции:</w:t>
      </w:r>
    </w:p>
    <w:p>
      <w:pPr>
        <w:spacing w:after="60"/>
        <w:ind w:firstLine="567"/>
        <w:jc w:val="both"/>
      </w:pPr>
      <w:r>
        <w:rPr>
          <w:rFonts w:ascii="Arial" w:cs="Arial" w:eastAsia="Arial" w:hAnsi="Arial"/>
          <w:sz w:val="24"/>
          <w:szCs w:val="24"/>
        </w:rPr>
        <w:t xml:space="preserve">"3.1. Комитет должен состоять как минимум из трех членов Совета Директоров банка, назначаемых общим собранием акционеров банка. Два из трех членов Совета директоров должны быть независимыми членами. При этом независимость означает, что членом Комитета не могут быть:</w:t>
      </w:r>
    </w:p>
    <w:p>
      <w:pPr>
        <w:spacing w:after="60"/>
        <w:ind w:firstLine="567"/>
        <w:jc w:val="both"/>
      </w:pPr>
      <w:r>
        <w:rPr>
          <w:rFonts w:ascii="Arial" w:cs="Arial" w:eastAsia="Arial" w:hAnsi="Arial"/>
          <w:sz w:val="24"/>
          <w:szCs w:val="24"/>
        </w:rPr>
        <w:t xml:space="preserve">- члены Правления и работники банка;</w:t>
      </w:r>
    </w:p>
    <w:p>
      <w:pPr>
        <w:spacing w:after="60"/>
        <w:ind w:firstLine="567"/>
        <w:jc w:val="both"/>
      </w:pPr>
      <w:r>
        <w:rPr>
          <w:rFonts w:ascii="Arial" w:cs="Arial" w:eastAsia="Arial" w:hAnsi="Arial"/>
          <w:sz w:val="24"/>
          <w:szCs w:val="24"/>
        </w:rPr>
        <w:t xml:space="preserve">- деловые партнеры акционера банка;</w:t>
      </w:r>
    </w:p>
    <w:p>
      <w:pPr>
        <w:spacing w:after="60"/>
        <w:ind w:firstLine="567"/>
        <w:jc w:val="both"/>
      </w:pPr>
      <w:r>
        <w:rPr>
          <w:rFonts w:ascii="Arial" w:cs="Arial" w:eastAsia="Arial" w:hAnsi="Arial"/>
          <w:sz w:val="24"/>
          <w:szCs w:val="24"/>
        </w:rPr>
        <w:t xml:space="preserve">- члены Совета директоров и акционеры другого банка.</w:t>
      </w:r>
    </w:p>
    <w:p>
      <w:pPr>
        <w:spacing w:after="60"/>
        <w:ind w:firstLine="567"/>
        <w:jc w:val="both"/>
      </w:pPr>
      <w:r>
        <w:rPr>
          <w:rFonts w:ascii="Arial" w:cs="Arial" w:eastAsia="Arial" w:hAnsi="Arial"/>
          <w:sz w:val="24"/>
          <w:szCs w:val="24"/>
        </w:rPr>
        <w:t xml:space="preserve">При этом Председатель Комитета по аудиту в обязательном порядке должен быть один из независимых членов Совета Директоров банка, который не возглавляет Комитет по рискам.".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vcukqgjywthdrtapz9_x">
      <w:r>
        <w:rPr>
          <w:rFonts w:ascii="Arial" w:cs="Arial" w:eastAsia="Arial" w:hAnsi="Arial"/>
          <w:color w:val="132D3F"/>
          <w:sz w:val="16"/>
          <w:szCs w:val="16"/>
          <w:u w:val="single"/>
        </w:rPr>
        <w:t xml:space="preserve">dalil.kg/document/800089</w:t>
      </w:r>
    </w:hyperlink>
  </w:p>
  <w:p>
    <w:pPr>
      <w:spacing w:after="0" w:before="40"/>
      <w:jc w:val="center"/>
    </w:pPr>
    <w:hyperlink w:history="1" r:id="rIdxqkn1il1llhxkmgwf4qm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14eanmqsrk_rf1f-9hne" Type="http://schemas.openxmlformats.org/officeDocument/2006/relationships/hyperlink" Target="https://dalil.kg/document/559" TargetMode="External"/><Relationship Id="rIdodq8srz0vs54syfmoay3e" Type="http://schemas.openxmlformats.org/officeDocument/2006/relationships/hyperlink" Target="https://dalil.kg/document/800089#p1" TargetMode="External"/><Relationship Id="rIdlvguwnufjc5g7k2mz8b7c" Type="http://schemas.openxmlformats.org/officeDocument/2006/relationships/hyperlink" Target="https://dalil.kg/document/303049" TargetMode="External"/><Relationship Id="rIdimrivh1yehfeqtawj5vsz" Type="http://schemas.openxmlformats.org/officeDocument/2006/relationships/hyperlink" Target="https://dalil.kg/document/303050" TargetMode="External"/><Relationship Id="rIdnebssur-zvgcfrqghhaz7" Type="http://schemas.openxmlformats.org/officeDocument/2006/relationships/hyperlink" Target="https://dalil.kg/document/800091" TargetMode="External"/><Relationship Id="rIdqik3fhphf1uhuatpekagl" Type="http://schemas.openxmlformats.org/officeDocument/2006/relationships/hyperlink" Target="https://dalil.kg/document/800092" TargetMode="External"/><Relationship Id="rIdiw-lhka-n82gb1-qj_2xo" Type="http://schemas.openxmlformats.org/officeDocument/2006/relationships/hyperlink" Target="https://dalil.kg/document/300272" TargetMode="External"/><Relationship Id="rIdjb40vc2b7uqxjslq7hx_u" Type="http://schemas.openxmlformats.org/officeDocument/2006/relationships/hyperlink" Target="https://dalil.kg/document/300272" TargetMode="External"/><Relationship Id="rIdjmfr297f1dpgw1ckkzfmu" Type="http://schemas.openxmlformats.org/officeDocument/2006/relationships/hyperlink" Target="https://dalil.kg/document/303049" TargetMode="External"/><Relationship Id="rIdmirc7ax4b0uyhhw3yxono" Type="http://schemas.openxmlformats.org/officeDocument/2006/relationships/hyperlink" Target="https://dalil.kg/document/303050" TargetMode="External"/><Relationship Id="rIdpz0rteoo_xozr9si3ny4q" Type="http://schemas.openxmlformats.org/officeDocument/2006/relationships/hyperlink" Target="https://dalil.kg/document/303049" TargetMode="External"/><Relationship Id="rIdbzocw8_7bqcguv0q1k2gt" Type="http://schemas.openxmlformats.org/officeDocument/2006/relationships/hyperlink" Target="https://dalil.kg/document/303050" TargetMode="External"/><Relationship Id="rIdqearoahr7feidkqgttroh" Type="http://schemas.openxmlformats.org/officeDocument/2006/relationships/hyperlink" Target="https://dalil.kg/document/303049" TargetMode="External"/><Relationship Id="rIde1lh3sqipencbhcl_glnd" Type="http://schemas.openxmlformats.org/officeDocument/2006/relationships/hyperlink" Target="https://dalil.kg/document/303050" TargetMode="External"/><Relationship Id="rId0mqtslmzqmcvtfmi89v9b" Type="http://schemas.openxmlformats.org/officeDocument/2006/relationships/hyperlink" Target="https://dalil.kg/document/303050#p1" TargetMode="External"/><Relationship Id="rIdnim7jj70suceeiazkcdnz" Type="http://schemas.openxmlformats.org/officeDocument/2006/relationships/hyperlink" Target="https://dalil.kg/document/800091" TargetMode="External"/><Relationship Id="rIdzjuksheubq28-ji3z8d7g" Type="http://schemas.openxmlformats.org/officeDocument/2006/relationships/hyperlink" Target="https://dalil.kg/document/800092" TargetMode="External"/><Relationship Id="rId-zgzab4-ckb50r6tdjsbh" Type="http://schemas.openxmlformats.org/officeDocument/2006/relationships/hyperlink" Target="https://dalil.kg/document/800091" TargetMode="External"/><Relationship Id="rIdnzka-r6ux-vs7wry80gcy" Type="http://schemas.openxmlformats.org/officeDocument/2006/relationships/hyperlink" Target="https://dalil.kg/document/800092" TargetMode="External"/><Relationship Id="rIdczm8jc76xum5v2uplvrrp" Type="http://schemas.openxmlformats.org/officeDocument/2006/relationships/hyperlink" Target="https://dalil.kg/document/800091" TargetMode="External"/><Relationship Id="rIdpof6jgcv6enl1l1ckav0t" Type="http://schemas.openxmlformats.org/officeDocument/2006/relationships/hyperlink" Target="https://dalil.kg/document/300272" TargetMode="External"/><Relationship Id="rId3xbavrwrygaftl8qzlmh0" Type="http://schemas.openxmlformats.org/officeDocument/2006/relationships/hyperlink" Target="https://dalil.kg/document/300272" TargetMode="External"/><Relationship Id="rIdfy0emnjf15eusoproiruc" Type="http://schemas.openxmlformats.org/officeDocument/2006/relationships/hyperlink" Target="https://dalil.kg/document/300272" TargetMode="External"/><Relationship Id="rIdqg_3dkbdym19aufm3mi7o" Type="http://schemas.openxmlformats.org/officeDocument/2006/relationships/hyperlink" Target="https://dalil.kg/document/300272"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vcukqgjywthdrtapz9_x" Type="http://schemas.openxmlformats.org/officeDocument/2006/relationships/hyperlink" Target="https://dalil.kg/document/800089" TargetMode="External"/><Relationship Id="rIdxqkn1il1llhxkmgwf4qm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2026-09-24T10:12:21.032Z</dcterms:created>
  <dcterms:modified xsi:type="dcterms:W3CDTF">2026-09-24T10:12:21.032Z</dcterms:modified>
</cp:coreProperties>
</file>

<file path=docProps/custom.xml><?xml version="1.0" encoding="utf-8"?>
<Properties xmlns="http://schemas.openxmlformats.org/officeDocument/2006/custom-properties" xmlns:vt="http://schemas.openxmlformats.org/officeDocument/2006/docPropsVTypes"/>
</file>