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both"/>
      </w:pPr>
      <w:r>
        <w:rPr>
          <w:rFonts w:ascii="Arial" w:cs="Arial" w:eastAsia="Arial" w:hAnsi="Arial"/>
          <w:sz w:val="20"/>
          <w:szCs w:val="20"/>
        </w:rPr>
        <w:t xml:space="preserve">Зарегистрировано в Министерстве юстиции Кыргызской Республики</w:t>
      </w:r>
    </w:p>
    <w:p>
      <w:pPr>
        <w:spacing w:after="60"/>
        <w:jc w:val="both"/>
      </w:pPr>
      <w:r>
        <w:rPr>
          <w:rFonts w:ascii="Arial" w:cs="Arial" w:eastAsia="Arial" w:hAnsi="Arial"/>
          <w:sz w:val="20"/>
          <w:szCs w:val="20"/>
        </w:rPr>
        <w:t xml:space="preserve">4 августа 2006 года. Регистрационный номер 85-06</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mxo8qr8mc4wsk4rfe5ow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28 июня 2006 года N 19/2</w:t>
      </w:r>
    </w:p>
    <w:p>
      <w:pPr>
        <w:spacing w:after="400" w:before="400"/>
        <w:jc w:val="center"/>
      </w:pPr>
      <w:r>
        <w:rPr>
          <w:rFonts w:ascii="Arial" w:cs="Arial" w:eastAsia="Arial" w:hAnsi="Arial"/>
          <w:b/>
          <w:bCs/>
          <w:sz w:val="32"/>
          <w:szCs w:val="32"/>
        </w:rPr>
        <w:t xml:space="preserve">ПОЛОЖЕНИЕ </w:t>
      </w:r>
      <w:r>
        <w:rPr>
          <w:rFonts w:ascii="Arial" w:cs="Arial" w:eastAsia="Arial" w:hAnsi="Arial"/>
          <w:b/>
          <w:bCs/>
          <w:sz w:val="32"/>
          <w:szCs w:val="32"/>
        </w:rPr>
        <w:t xml:space="preserve">
 "О минимальных требованиях по управлению рыночным риском в коммерческих банках и других финансово-кредитных организациях, лицензируемых Национальным банком Кыргызской Республики"</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16 ноября 2012 года N 43/1</w:t>
      </w:r>
      <w:r>
        <w:rPr>
          <w:rFonts w:ascii="Arial" w:cs="Arial" w:eastAsia="Arial" w:hAnsi="Arial"/>
          <w:i/>
          <w:iCs/>
          <w:sz w:val="24"/>
          <w:szCs w:val="24"/>
        </w:rPr>
        <w:t xml:space="preserve">, </w:t>
      </w:r>
      <w:hyperlink w:history="1" r:id="rIdz1m8z0shb8kjtctrggbr8">
        <w:r>
          <w:rPr>
            <w:rFonts w:ascii="Arial" w:cs="Arial" w:eastAsia="Arial" w:hAnsi="Arial"/>
            <w:i/>
            <w:iCs/>
            <w:color w:val="1D4ED8"/>
            <w:sz w:val="24"/>
            <w:szCs w:val="24"/>
            <w:u w:val="single"/>
          </w:rPr>
          <w:t xml:space="preserve">15 июня 2017 года № 2017-П-12/25-7</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t5xsnagxa0gfy9d0qfvck">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Настоящее Положение устанавливает обязательные для соблюдения коммерческими банками и Государственным банком развития Кыргызской Республики (далее - банки) минимальные требования к организации управления рыночным риском.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4q-sgcbbs-pxqlfo-9hrc">
        <w:r>
          <w:rPr>
            <w:rFonts w:ascii="Arial" w:cs="Arial" w:eastAsia="Arial" w:hAnsi="Arial"/>
            <w:i/>
            <w:iCs/>
            <w:color w:val="1D4ED8"/>
            <w:sz w:val="24"/>
            <w:szCs w:val="24"/>
            <w:u w:val="single"/>
          </w:rPr>
          <w:t xml:space="preserve">15 июня 2017 года № 2017-П-12/25-7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Положение определяет основные элементы и принципы управления рыночным риском в соответствии со стандартами благоразумной банковской практики, и являющиеся дополнительным руководством для банков по минимальным требованиям к системе управления рисками (см. Примечание 1), которые предусматривают, как минимум, следующее:</w:t>
      </w:r>
    </w:p>
    <w:p>
      <w:pPr>
        <w:spacing w:after="60"/>
        <w:ind w:firstLine="567"/>
        <w:jc w:val="both"/>
      </w:pPr>
      <w:r>
        <w:rPr>
          <w:rFonts w:ascii="Arial" w:cs="Arial" w:eastAsia="Arial" w:hAnsi="Arial"/>
          <w:sz w:val="24"/>
          <w:szCs w:val="24"/>
        </w:rPr>
        <w:t xml:space="preserve">- цели и задачи управления рыночным риском;</w:t>
      </w:r>
    </w:p>
    <w:p>
      <w:pPr>
        <w:spacing w:after="60"/>
        <w:ind w:firstLine="567"/>
        <w:jc w:val="both"/>
      </w:pPr>
      <w:r>
        <w:rPr>
          <w:rFonts w:ascii="Arial" w:cs="Arial" w:eastAsia="Arial" w:hAnsi="Arial"/>
          <w:sz w:val="24"/>
          <w:szCs w:val="24"/>
        </w:rPr>
        <w:t xml:space="preserve">- порядок выявления, оценки, определения приемлемого уровня рыночного риска и мониторинга за уровнем рыночного риска, в том числе на консолидированной основе;</w:t>
      </w:r>
    </w:p>
    <w:p>
      <w:pPr>
        <w:spacing w:after="60"/>
        <w:ind w:firstLine="567"/>
        <w:jc w:val="both"/>
      </w:pPr>
      <w:r>
        <w:rPr>
          <w:rFonts w:ascii="Arial" w:cs="Arial" w:eastAsia="Arial" w:hAnsi="Arial"/>
          <w:sz w:val="24"/>
          <w:szCs w:val="24"/>
        </w:rPr>
        <w:t xml:space="preserve">- принятие мер по поддержанию приемлемого уровня рыночного риска, включающих в том числе контроль и/или минимизацию риска;</w:t>
      </w:r>
    </w:p>
    <w:p>
      <w:pPr>
        <w:spacing w:after="60"/>
        <w:ind w:firstLine="567"/>
        <w:jc w:val="both"/>
      </w:pPr>
      <w:r>
        <w:rPr>
          <w:rFonts w:ascii="Arial" w:cs="Arial" w:eastAsia="Arial" w:hAnsi="Arial"/>
          <w:sz w:val="24"/>
          <w:szCs w:val="24"/>
        </w:rPr>
        <w:t xml:space="preserve">- порядок информационного обеспечения по вопросам рыночного риска (порядок обмена информацией между подразделениями и служащими, порядок и периодичность представления отчетной и иной информации по вопросам управления рыночным риском);</w:t>
      </w:r>
    </w:p>
    <w:p>
      <w:pPr>
        <w:spacing w:after="60"/>
        <w:ind w:firstLine="567"/>
        <w:jc w:val="both"/>
      </w:pPr>
      <w:r>
        <w:rPr>
          <w:rFonts w:ascii="Arial" w:cs="Arial" w:eastAsia="Arial" w:hAnsi="Arial"/>
          <w:sz w:val="24"/>
          <w:szCs w:val="24"/>
        </w:rPr>
        <w:t xml:space="preserve">- порядок управления рыночным риском при изменении структуры финансовых инструментов, их количественных и стоимостных показателей, разработке и внедрении новых технологий и условий осуществления банковских операций и других сделок, иных финансовых инноваций и технологий, при выходе на новые рынки;</w:t>
      </w:r>
    </w:p>
    <w:p>
      <w:pPr>
        <w:spacing w:after="60"/>
        <w:ind w:firstLine="567"/>
        <w:jc w:val="both"/>
      </w:pPr>
      <w:r>
        <w:rPr>
          <w:rFonts w:ascii="Arial" w:cs="Arial" w:eastAsia="Arial" w:hAnsi="Arial"/>
          <w:sz w:val="24"/>
          <w:szCs w:val="24"/>
        </w:rPr>
        <w:t xml:space="preserve">- распределение полномочий и ответственности между Советом директоров, исполнительными органами, подразделениями и служащими в части реализации основных принципов управления рыночным риском;</w:t>
      </w:r>
    </w:p>
    <w:p>
      <w:pPr>
        <w:spacing w:after="60"/>
        <w:ind w:firstLine="567"/>
        <w:jc w:val="both"/>
      </w:pPr>
      <w:r>
        <w:rPr>
          <w:rFonts w:ascii="Arial" w:cs="Arial" w:eastAsia="Arial" w:hAnsi="Arial"/>
          <w:sz w:val="24"/>
          <w:szCs w:val="24"/>
        </w:rPr>
        <w:t xml:space="preserve">- порядок осуществления контроля за эффективностью управления рыночным риском.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qakuzqtgdmut9komv7co">
        <w:r>
          <w:rPr>
            <w:rFonts w:ascii="Arial" w:cs="Arial" w:eastAsia="Arial" w:hAnsi="Arial"/>
            <w:i/>
            <w:iCs/>
            <w:color w:val="1D4ED8"/>
            <w:sz w:val="24"/>
            <w:szCs w:val="24"/>
            <w:u w:val="single"/>
          </w:rPr>
          <w:t xml:space="preserve">15 июня 2017 года № 2017-П-12/25-7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Определение рыночного риска</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Рыночный риск</w:t>
      </w:r>
      <w:r>
        <w:rPr>
          <w:rFonts w:ascii="Arial" w:cs="Arial" w:eastAsia="Arial" w:hAnsi="Arial"/>
          <w:sz w:val="24"/>
          <w:szCs w:val="24"/>
        </w:rPr>
        <w:t xml:space="preserve"> - это риск потерь, которому подвержен банк в случае неблагоприятных изменений стоимости балансовых и забалансовых активов и обязательств банка в результате изменения рыночных процентных ставок, обменных курсов, цен на акции и/или товары. Существует несколько видов рыночного риска, включая риск процентной ставки, валютный риск, ценовой риск.</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Риск процентной ставки</w:t>
      </w:r>
      <w:r>
        <w:rPr>
          <w:rFonts w:ascii="Arial" w:cs="Arial" w:eastAsia="Arial" w:hAnsi="Arial"/>
          <w:sz w:val="24"/>
          <w:szCs w:val="24"/>
        </w:rPr>
        <w:t xml:space="preserve"> - это риск потерь, которому подвержены капитал и доходность банка вследствие изменения рыночных процентных ставок. Различают несколько видов риска процентной ставки, в том числе:</w:t>
      </w:r>
    </w:p>
    <w:p>
      <w:pPr>
        <w:spacing w:after="60"/>
        <w:ind w:firstLine="567"/>
        <w:jc w:val="both"/>
      </w:pPr>
      <w:r>
        <w:rPr>
          <w:rFonts w:ascii="Arial" w:cs="Arial" w:eastAsia="Arial" w:hAnsi="Arial"/>
          <w:sz w:val="24"/>
          <w:szCs w:val="24"/>
        </w:rPr>
        <w:t xml:space="preserve">2.2.1. </w:t>
      </w:r>
      <w:r>
        <w:rPr>
          <w:rFonts w:ascii="Arial" w:cs="Arial" w:eastAsia="Arial" w:hAnsi="Arial"/>
          <w:b/>
          <w:bCs/>
          <w:sz w:val="24"/>
          <w:szCs w:val="24"/>
        </w:rPr>
        <w:t xml:space="preserve">Риск переоценки</w:t>
      </w:r>
      <w:r>
        <w:rPr>
          <w:rFonts w:ascii="Arial" w:cs="Arial" w:eastAsia="Arial" w:hAnsi="Arial"/>
          <w:sz w:val="24"/>
          <w:szCs w:val="24"/>
        </w:rPr>
        <w:t xml:space="preserve"> - это результат разницы между временем изменения процентной ставки и временем движения денежных потоков, которые возникают при оценке и установлении сроков погашения банковских активов, обязательства и забалансовых статей. Данный риск возникает из-за различий в сроках наступления платежей по активам и обязательствам с фиксированной процентной ставкой и переоценки активов и обязательств с плавающей процентной ставкой (</w:t>
      </w:r>
      <w:r>
        <w:rPr>
          <w:rFonts w:ascii="Arial" w:cs="Arial" w:eastAsia="Arial" w:hAnsi="Arial"/>
          <w:sz w:val="24"/>
          <w:szCs w:val="24"/>
        </w:rPr>
        <w:t xml:space="preserve">см. примечание 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2.2.2. </w:t>
      </w:r>
      <w:r>
        <w:rPr>
          <w:rFonts w:ascii="Arial" w:cs="Arial" w:eastAsia="Arial" w:hAnsi="Arial"/>
          <w:b/>
          <w:bCs/>
          <w:sz w:val="24"/>
          <w:szCs w:val="24"/>
        </w:rPr>
        <w:t xml:space="preserve">Базисный риск</w:t>
      </w:r>
      <w:r>
        <w:rPr>
          <w:rFonts w:ascii="Arial" w:cs="Arial" w:eastAsia="Arial" w:hAnsi="Arial"/>
          <w:sz w:val="24"/>
          <w:szCs w:val="24"/>
        </w:rPr>
        <w:t xml:space="preserve"> - это результат изменений в отношении процентных ставок на различных финансовых рынках. Данный риск возникает при слабой корреляции изменений процентных ставок по активам и обязательствам, которые переоцениваются в зависимости от колебаний различных индексов и/или изменений на различных финансовых рынках (</w:t>
      </w:r>
      <w:r>
        <w:rPr>
          <w:rFonts w:ascii="Arial" w:cs="Arial" w:eastAsia="Arial" w:hAnsi="Arial"/>
          <w:sz w:val="24"/>
          <w:szCs w:val="24"/>
        </w:rPr>
        <w:t xml:space="preserve">см. примечание 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2.2.3. </w:t>
      </w:r>
      <w:r>
        <w:rPr>
          <w:rFonts w:ascii="Arial" w:cs="Arial" w:eastAsia="Arial" w:hAnsi="Arial"/>
          <w:b/>
          <w:bCs/>
          <w:sz w:val="24"/>
          <w:szCs w:val="24"/>
        </w:rPr>
        <w:t xml:space="preserve">Опционный риск</w:t>
      </w:r>
      <w:r>
        <w:rPr>
          <w:rFonts w:ascii="Arial" w:cs="Arial" w:eastAsia="Arial" w:hAnsi="Arial"/>
          <w:sz w:val="24"/>
          <w:szCs w:val="24"/>
        </w:rPr>
        <w:t xml:space="preserve"> - это риск, возникающий в случае, когда клиент банка имеет право, но не обязательство, изменить объем или срок движения денежных потоков по активам или обязательствам. Это заставляет банк переоценивать эти активы и обязательства по текущим рыночным процентным ставкам, которые могут быть неблагоприятны для банка (</w:t>
      </w:r>
      <w:r>
        <w:rPr>
          <w:rFonts w:ascii="Arial" w:cs="Arial" w:eastAsia="Arial" w:hAnsi="Arial"/>
          <w:sz w:val="24"/>
          <w:szCs w:val="24"/>
        </w:rPr>
        <w:t xml:space="preserve">см. примечание 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2.2.4. Риск кривой доходности - это риск, который возникает в результате колебаний процентной ставки до срока погашения. Он влечет за собой изменения в соотношении между процентными ставками разных сроков погашений одного и того же индекса или рынка.</w:t>
      </w:r>
    </w:p>
    <w:p>
      <w:pPr>
        <w:spacing w:after="60"/>
        <w:ind w:firstLine="567"/>
        <w:jc w:val="both"/>
      </w:pPr>
      <w:r>
        <w:rPr>
          <w:rFonts w:ascii="Arial" w:cs="Arial" w:eastAsia="Arial" w:hAnsi="Arial"/>
          <w:sz w:val="24"/>
          <w:szCs w:val="24"/>
        </w:rPr>
        <w:t xml:space="preserve">Изменения кривой доходности могут подчеркнуть риск позиции банка, усилив при этом эффект несовпадения сроков.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zetsjhhxoh1hx8p0pfaez">
        <w:r>
          <w:rPr>
            <w:rFonts w:ascii="Arial" w:cs="Arial" w:eastAsia="Arial" w:hAnsi="Arial"/>
            <w:i/>
            <w:iCs/>
            <w:color w:val="1D4ED8"/>
            <w:sz w:val="24"/>
            <w:szCs w:val="24"/>
            <w:u w:val="single"/>
          </w:rPr>
          <w:t xml:space="preserve">15 июня 2017 года № 2017-П-12/25-7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Валютный риск</w:t>
      </w:r>
      <w:r>
        <w:rPr>
          <w:rFonts w:ascii="Arial" w:cs="Arial" w:eastAsia="Arial" w:hAnsi="Arial"/>
          <w:sz w:val="24"/>
          <w:szCs w:val="24"/>
        </w:rPr>
        <w:t xml:space="preserve"> - это риск возникновения расходов (убытков), связанных с изменением курсов иностранных валют, при осуществлении банком своей деятельности и при наличии открытой позиции по определенной валюте. При проведении валютных операций могут возникнуть следующие виды рисков, в том числе:</w:t>
      </w:r>
    </w:p>
    <w:p>
      <w:pPr>
        <w:spacing w:after="60"/>
        <w:ind w:firstLine="567"/>
        <w:jc w:val="both"/>
      </w:pPr>
      <w:r>
        <w:rPr>
          <w:rFonts w:ascii="Arial" w:cs="Arial" w:eastAsia="Arial" w:hAnsi="Arial"/>
          <w:sz w:val="24"/>
          <w:szCs w:val="24"/>
        </w:rPr>
        <w:t xml:space="preserve">2.3.1. </w:t>
      </w:r>
      <w:r>
        <w:rPr>
          <w:rFonts w:ascii="Arial" w:cs="Arial" w:eastAsia="Arial" w:hAnsi="Arial"/>
          <w:b/>
          <w:bCs/>
          <w:sz w:val="24"/>
          <w:szCs w:val="24"/>
        </w:rPr>
        <w:t xml:space="preserve">Кредитный риск</w:t>
      </w:r>
      <w:r>
        <w:rPr>
          <w:rFonts w:ascii="Arial" w:cs="Arial" w:eastAsia="Arial" w:hAnsi="Arial"/>
          <w:sz w:val="24"/>
          <w:szCs w:val="24"/>
        </w:rPr>
        <w:t xml:space="preserve"> - это риск невыполнения заемщиком своих обязательств в соответствии со сроками и условиями договора (</w:t>
      </w:r>
      <w:r>
        <w:rPr>
          <w:rFonts w:ascii="Arial" w:cs="Arial" w:eastAsia="Arial" w:hAnsi="Arial"/>
          <w:sz w:val="24"/>
          <w:szCs w:val="24"/>
        </w:rPr>
        <w:t xml:space="preserve">см. примечание 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2.3.2. </w:t>
      </w:r>
      <w:r>
        <w:rPr>
          <w:rFonts w:ascii="Arial" w:cs="Arial" w:eastAsia="Arial" w:hAnsi="Arial"/>
          <w:b/>
          <w:bCs/>
          <w:sz w:val="24"/>
          <w:szCs w:val="24"/>
        </w:rPr>
        <w:t xml:space="preserve">Платежный риск</w:t>
      </w:r>
      <w:r>
        <w:rPr>
          <w:rFonts w:ascii="Arial" w:cs="Arial" w:eastAsia="Arial" w:hAnsi="Arial"/>
          <w:sz w:val="24"/>
          <w:szCs w:val="24"/>
        </w:rPr>
        <w:t xml:space="preserve"> - это риск, который возникает при перечислении проданной валюты еще до того, как банк получил купленную валюту. Риск начинается с того времени, когда договор о продаже валюты уже нельзя отменить в одностороннем порядке, и существует до тех пор, пока купленная валюта не будет получена.</w:t>
      </w:r>
    </w:p>
    <w:p>
      <w:pPr>
        <w:spacing w:after="60"/>
        <w:ind w:firstLine="567"/>
        <w:jc w:val="both"/>
      </w:pPr>
      <w:r>
        <w:rPr>
          <w:rFonts w:ascii="Arial" w:cs="Arial" w:eastAsia="Arial" w:hAnsi="Arial"/>
          <w:sz w:val="24"/>
          <w:szCs w:val="24"/>
        </w:rPr>
        <w:t xml:space="preserve">2.3.3. </w:t>
      </w:r>
      <w:r>
        <w:rPr>
          <w:rFonts w:ascii="Arial" w:cs="Arial" w:eastAsia="Arial" w:hAnsi="Arial"/>
          <w:b/>
          <w:bCs/>
          <w:sz w:val="24"/>
          <w:szCs w:val="24"/>
        </w:rPr>
        <w:t xml:space="preserve">Риск ликвидности</w:t>
      </w:r>
      <w:r>
        <w:rPr>
          <w:rFonts w:ascii="Arial" w:cs="Arial" w:eastAsia="Arial" w:hAnsi="Arial"/>
          <w:sz w:val="24"/>
          <w:szCs w:val="24"/>
        </w:rPr>
        <w:t xml:space="preserve"> - это риск, возникающий, когда значительные колебания обменного курса или события внутри страны, например, ужесточение валютного регулирования, могут ограничить доступ к валютным средствам. Банки, которые ведут деятельность во многих видах валюты, должны предусмотреть меры по поддержанию ликвидности в иностранной валюте в общей стратегии управления ликвидностью.</w:t>
      </w:r>
    </w:p>
    <w:p>
      <w:pPr>
        <w:spacing w:after="60"/>
        <w:ind w:firstLine="567"/>
        <w:jc w:val="both"/>
      </w:pPr>
      <w:r>
        <w:rPr>
          <w:rFonts w:ascii="Arial" w:cs="Arial" w:eastAsia="Arial" w:hAnsi="Arial"/>
          <w:sz w:val="24"/>
          <w:szCs w:val="24"/>
        </w:rPr>
        <w:t xml:space="preserve">2.3.4. </w:t>
      </w:r>
      <w:r>
        <w:rPr>
          <w:rFonts w:ascii="Arial" w:cs="Arial" w:eastAsia="Arial" w:hAnsi="Arial"/>
          <w:b/>
          <w:bCs/>
          <w:sz w:val="24"/>
          <w:szCs w:val="24"/>
        </w:rPr>
        <w:t xml:space="preserve">Страновой риск</w:t>
      </w:r>
      <w:r>
        <w:rPr>
          <w:rFonts w:ascii="Arial" w:cs="Arial" w:eastAsia="Arial" w:hAnsi="Arial"/>
          <w:sz w:val="24"/>
          <w:szCs w:val="24"/>
        </w:rPr>
        <w:t xml:space="preserve"> - это риск возникновения потерь вследствие изменения экономических, социальных и политических условий и событий в иностранных государствах, в том числе в их деятельности по международному кредитованию и иностранным инвестициям.</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Ценовой риск</w:t>
      </w:r>
      <w:r>
        <w:rPr>
          <w:rFonts w:ascii="Arial" w:cs="Arial" w:eastAsia="Arial" w:hAnsi="Arial"/>
          <w:sz w:val="24"/>
          <w:szCs w:val="24"/>
        </w:rPr>
        <w:t xml:space="preserve"> - это риск потерь, которому подвержен банк в случае неблагоприятных изменений в стоимости финансовых инструментов и других инвестиций или активов, принадлежащих банку (на балансе или забалансом) в результате изменения рыночных цен.</w:t>
      </w:r>
    </w:p>
    <w:p>
      <w:pPr>
        <w:spacing w:after="200" w:before="200"/>
        <w:jc w:val="center"/>
      </w:pPr>
      <w:r>
        <w:rPr>
          <w:rFonts w:ascii="Arial" w:cs="Arial" w:eastAsia="Arial" w:hAnsi="Arial"/>
          <w:b/>
          <w:bCs/>
          <w:sz w:val="24"/>
          <w:szCs w:val="24"/>
        </w:rPr>
        <w:t xml:space="preserve">3. Организация управления рыночным риском</w:t>
      </w:r>
    </w:p>
    <w:p>
      <w:pPr>
        <w:spacing w:after="120"/>
        <w:jc w:val="both"/>
      </w:pPr>
      <w:r>
        <w:rPr>
          <w:rFonts w:ascii="Arial" w:cs="Arial" w:eastAsia="Arial" w:hAnsi="Arial"/>
          <w:sz w:val="24"/>
          <w:szCs w:val="24"/>
        </w:rPr>
        <w:t xml:space="preserve">3.1. Управление рыночным риском должно соответствовать масштабам деятельности, аппетита к риску и уровню рыночного риска, принимаемого на себя банком. Банк должен принимать меры для снижения рыночного риска, связанного с осуществлением своих операций.</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2ik2uixxqdijuvv_yk6ok">
        <w:r>
          <w:rPr>
            <w:rFonts w:ascii="Arial" w:cs="Arial" w:eastAsia="Arial" w:hAnsi="Arial"/>
            <w:color w:val="1D4ED8"/>
            <w:sz w:val="24"/>
            <w:szCs w:val="24"/>
            <w:u w:val="single"/>
          </w:rPr>
          <w:t xml:space="preserve">20 июня 2018 года № 2018-П-12/24-1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3.2. Банкам рекомендуется поддерживать такой размер капитала, который должен быть достаточным для покрытия убытков, связанных с рыночным риском.</w:t>
      </w:r>
    </w:p>
    <w:p>
      <w:pPr>
        <w:spacing w:after="60"/>
        <w:ind w:firstLine="567"/>
        <w:jc w:val="both"/>
      </w:pPr>
      <w:r>
        <w:rPr>
          <w:rFonts w:ascii="Arial" w:cs="Arial" w:eastAsia="Arial" w:hAnsi="Arial"/>
          <w:sz w:val="24"/>
          <w:szCs w:val="24"/>
        </w:rPr>
        <w:t xml:space="preserve">3.3. В целях управления рыночным риском банк должен иметь политики и внутренние процедуры, определяющие меры контроля за уровнем риска и его влиянием на доходность и капитал банка.</w:t>
      </w:r>
    </w:p>
    <w:p>
      <w:pPr>
        <w:spacing w:after="120"/>
        <w:jc w:val="both"/>
      </w:pPr>
      <w:r>
        <w:rPr>
          <w:rFonts w:ascii="Arial" w:cs="Arial" w:eastAsia="Arial" w:hAnsi="Arial"/>
          <w:sz w:val="24"/>
          <w:szCs w:val="24"/>
        </w:rPr>
        <w:t xml:space="preserve">3.4. Политика по управлению рыночным риском, утвержденная Советом директоров банка, должна учитывать уровень и сложность риска, которому подвержен банк, и охватывать те виды рыночного риска, которые связаны с деятельностью банка, а также уровень риска от введения новых банковских продуктов и услуг.</w:t>
      </w:r>
    </w:p>
    <w:p>
      <w:pPr>
        <w:spacing w:after="120"/>
        <w:jc w:val="both"/>
      </w:pPr>
      <w:r>
        <w:rPr>
          <w:rFonts w:ascii="Arial" w:cs="Arial" w:eastAsia="Arial" w:hAnsi="Arial"/>
          <w:sz w:val="24"/>
          <w:szCs w:val="24"/>
        </w:rPr>
        <w:t xml:space="preserve">Банки должны учитывать общие и макроэкономические условия, в которых они осуществляют свою деятельность при оценке, управлении своими рисками и их способность привести банк к существенным потерям.</w:t>
      </w:r>
    </w:p>
    <w:p>
      <w:pPr>
        <w:spacing w:after="120"/>
        <w:jc w:val="both"/>
      </w:pPr>
      <w:r>
        <w:rPr>
          <w:rFonts w:ascii="Arial" w:cs="Arial" w:eastAsia="Arial" w:hAnsi="Arial"/>
          <w:sz w:val="24"/>
          <w:szCs w:val="24"/>
        </w:rPr>
        <w:t xml:space="preserve">Примечание: Источниками макроэкономических данных может быть Бюллетень Национального банка или иные источники.</w:t>
      </w:r>
    </w:p>
    <w:p>
      <w:pPr>
        <w:spacing w:after="120"/>
        <w:jc w:val="both"/>
      </w:pPr>
      <w:r>
        <w:rPr>
          <w:rFonts w:ascii="Arial" w:cs="Arial" w:eastAsia="Arial" w:hAnsi="Arial"/>
          <w:sz w:val="24"/>
          <w:szCs w:val="24"/>
        </w:rPr>
        <w:t xml:space="preserve">Если банк принимает решение хеджировать риски, то в политике по управлению рыночным риском должны быть определены методы и критерии хеджирования рисков, включающие, в том числе, критерии эффективности (оптимальности) и стоимости хеджирования.</w:t>
      </w:r>
    </w:p>
    <w:p>
      <w:pPr>
        <w:spacing w:after="120"/>
        <w:jc w:val="both"/>
      </w:pPr>
      <w:r>
        <w:rPr>
          <w:rFonts w:ascii="Arial" w:cs="Arial" w:eastAsia="Arial" w:hAnsi="Arial"/>
          <w:sz w:val="24"/>
          <w:szCs w:val="24"/>
        </w:rPr>
        <w:t xml:space="preserve">(В редакции постановления Правления Нацбанка КР от </w:t>
      </w:r>
      <w:r>
        <w:rPr>
          <w:rFonts w:ascii="Arial" w:cs="Arial" w:eastAsia="Arial" w:hAnsi="Arial"/>
          <w:sz w:val="24"/>
          <w:szCs w:val="24"/>
        </w:rPr>
        <w:t xml:space="preserve">20 июня 2018 года № 2018-П-12/24-1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3.5. Совет директоров банка должен ежегодно пересматривать политику по управлению рыночным риском для того, чтобы обеспечить ее актуальность и соответствие масштабам деятельности и уровню рыночного риска банка. Совет директоров банка должен контролировать деятельность Правления по обеспечению эффективного процесса управления рыночным риском.</w:t>
      </w:r>
    </w:p>
    <w:p>
      <w:pPr>
        <w:spacing w:after="60"/>
        <w:ind w:firstLine="567"/>
        <w:jc w:val="both"/>
      </w:pPr>
      <w:r>
        <w:rPr>
          <w:rFonts w:ascii="Arial" w:cs="Arial" w:eastAsia="Arial" w:hAnsi="Arial"/>
          <w:sz w:val="24"/>
          <w:szCs w:val="24"/>
        </w:rPr>
        <w:t xml:space="preserve">3.6. Банк должен организовать надежную систему отчетности по оценке и анализу объема и природы потенциальных убытков, связанных с рыночным риском. Система отчетности должна охватывать анализ потенциальных убытков по всем операциям банка. Отчетность по текущему анализу рыночного риска должна представляться на рассмотрение Совета директоров банка. Периодичность предоставления отчетности определяется Советом директоров банка.</w:t>
      </w:r>
    </w:p>
    <w:p>
      <w:pPr>
        <w:spacing w:after="60"/>
        <w:ind w:firstLine="567"/>
        <w:jc w:val="both"/>
      </w:pPr>
      <w:r>
        <w:rPr>
          <w:rFonts w:ascii="Arial" w:cs="Arial" w:eastAsia="Arial" w:hAnsi="Arial"/>
          <w:sz w:val="24"/>
          <w:szCs w:val="24"/>
        </w:rPr>
        <w:t xml:space="preserve">3.7. Совет директоров и Правление банка должны обеспечить адекватный внутренний контроль, который, как минимум, предполагает контроль:</w:t>
      </w:r>
    </w:p>
    <w:p>
      <w:pPr>
        <w:spacing w:after="60"/>
        <w:ind w:firstLine="567"/>
        <w:jc w:val="both"/>
      </w:pPr>
      <w:r>
        <w:rPr>
          <w:rFonts w:ascii="Arial" w:cs="Arial" w:eastAsia="Arial" w:hAnsi="Arial"/>
          <w:sz w:val="24"/>
          <w:szCs w:val="24"/>
        </w:rPr>
        <w:t xml:space="preserve">- за соблюдением требований и процедур, установленных политикой банка по управлению рыночным риском и внутренними документами, регламентирующими процесс оценки рыночного риска;</w:t>
      </w:r>
    </w:p>
    <w:p>
      <w:pPr>
        <w:spacing w:after="60"/>
        <w:ind w:firstLine="567"/>
        <w:jc w:val="both"/>
      </w:pPr>
      <w:r>
        <w:rPr>
          <w:rFonts w:ascii="Arial" w:cs="Arial" w:eastAsia="Arial" w:hAnsi="Arial"/>
          <w:sz w:val="24"/>
          <w:szCs w:val="24"/>
        </w:rPr>
        <w:t xml:space="preserve">- за соблюдением установленных лимитов;</w:t>
      </w:r>
    </w:p>
    <w:p>
      <w:pPr>
        <w:spacing w:after="60"/>
        <w:ind w:firstLine="567"/>
        <w:jc w:val="both"/>
      </w:pPr>
      <w:r>
        <w:rPr>
          <w:rFonts w:ascii="Arial" w:cs="Arial" w:eastAsia="Arial" w:hAnsi="Arial"/>
          <w:sz w:val="24"/>
          <w:szCs w:val="24"/>
        </w:rPr>
        <w:t xml:space="preserve">- за соблюдением принципа разграничения полномочий, порядка утверждения и подотчетности по осуществляемым операциям и предоставляемым услугам;</w:t>
      </w:r>
    </w:p>
    <w:p>
      <w:pPr>
        <w:spacing w:after="60"/>
        <w:ind w:firstLine="567"/>
        <w:jc w:val="both"/>
      </w:pPr>
      <w:r>
        <w:rPr>
          <w:rFonts w:ascii="Arial" w:cs="Arial" w:eastAsia="Arial" w:hAnsi="Arial"/>
          <w:sz w:val="24"/>
          <w:szCs w:val="24"/>
        </w:rPr>
        <w:t xml:space="preserve">3.8. Правление банка несет ответственность за выявление, измерение, осуществление мониторинга и контроля за рыночным риском, которому подвержен банк.</w:t>
      </w:r>
    </w:p>
    <w:p>
      <w:pPr>
        <w:spacing w:after="60"/>
        <w:ind w:firstLine="567"/>
        <w:jc w:val="both"/>
      </w:pPr>
      <w:r>
        <w:rPr>
          <w:rFonts w:ascii="Arial" w:cs="Arial" w:eastAsia="Arial" w:hAnsi="Arial"/>
          <w:sz w:val="24"/>
          <w:szCs w:val="24"/>
        </w:rPr>
        <w:t xml:space="preserve">3.9. Правление банка должно обеспечить обучение и повышение квалификации персонала, необходимые для мониторинга фактического уровня сложности рыночной деятельности банка.</w:t>
      </w:r>
    </w:p>
    <w:p>
      <w:pPr>
        <w:spacing w:after="60"/>
        <w:ind w:firstLine="567"/>
        <w:jc w:val="both"/>
      </w:pPr>
      <w:r>
        <w:rPr>
          <w:rFonts w:ascii="Arial" w:cs="Arial" w:eastAsia="Arial" w:hAnsi="Arial"/>
          <w:sz w:val="24"/>
          <w:szCs w:val="24"/>
        </w:rPr>
        <w:t xml:space="preserve">3.10. Неспособность создать адекватные системы управления рыночным риском может представлять собой нездоровую и небезопасную банковскую практику и привести к тому, что Национальный банк Кыргызской Республики будет требовать от банка прекращения данных видов деятельности.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llini-jihqwz8gesajplx">
        <w:r>
          <w:rPr>
            <w:rFonts w:ascii="Arial" w:cs="Arial" w:eastAsia="Arial" w:hAnsi="Arial"/>
            <w:i/>
            <w:iCs/>
            <w:color w:val="1D4ED8"/>
            <w:sz w:val="24"/>
            <w:szCs w:val="24"/>
            <w:u w:val="single"/>
          </w:rPr>
          <w:t xml:space="preserve">15 июня 2017 года № 2017-П-12/25-7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3.11. Внутренний аудит банка должен регулярно проверять целостность, точность и эффективность управления банком своим рыночным риском. Информация по последующему исполнению корректирующих мероприятий по выявленным в результате внутреннего аудита недостаткам должны периодически, но не реже одного раза в полгода сообщается Совету директоров банка и, как минимум, не реже одного раза в квартал в Комитет по аудиту.</w:t>
      </w:r>
    </w:p>
    <w:p>
      <w:pPr>
        <w:spacing w:after="120"/>
        <w:jc w:val="both"/>
      </w:pPr>
      <w:r>
        <w:rPr>
          <w:rFonts w:ascii="Arial" w:cs="Arial" w:eastAsia="Arial" w:hAnsi="Arial"/>
          <w:sz w:val="24"/>
          <w:szCs w:val="24"/>
        </w:rPr>
        <w:t xml:space="preserve">Оценка рыночного риска, проведенная внутренним аудитом банка должна включать по крайней мере следующие факторы:</w:t>
      </w:r>
    </w:p>
    <w:p>
      <w:pPr>
        <w:spacing w:after="120"/>
        <w:jc w:val="both"/>
      </w:pPr>
      <w:r>
        <w:rPr>
          <w:rFonts w:ascii="Arial" w:cs="Arial" w:eastAsia="Arial" w:hAnsi="Arial"/>
          <w:sz w:val="24"/>
          <w:szCs w:val="24"/>
        </w:rPr>
        <w:t xml:space="preserve">- адекватность масштабов процессов управления рыночным риском (с учетом типа, содержания и уровня сложности позиций, которые вызывают рыночный риск, также должно быть проверено, были ли они адекватно рассмотрены в процессе управления рыночным риском банка);</w:t>
      </w:r>
    </w:p>
    <w:p>
      <w:pPr>
        <w:spacing w:after="120"/>
        <w:jc w:val="both"/>
      </w:pPr>
      <w:r>
        <w:rPr>
          <w:rFonts w:ascii="Arial" w:cs="Arial" w:eastAsia="Arial" w:hAnsi="Arial"/>
          <w:sz w:val="24"/>
          <w:szCs w:val="24"/>
        </w:rPr>
        <w:t xml:space="preserve">- адекватность используемой банком системы управления рыночным риском;</w:t>
      </w:r>
    </w:p>
    <w:p>
      <w:pPr>
        <w:spacing w:after="120"/>
        <w:jc w:val="both"/>
      </w:pPr>
      <w:r>
        <w:rPr>
          <w:rFonts w:ascii="Arial" w:cs="Arial" w:eastAsia="Arial" w:hAnsi="Arial"/>
          <w:sz w:val="24"/>
          <w:szCs w:val="24"/>
        </w:rPr>
        <w:t xml:space="preserve">- достоверность, полнота, целостность и согласованность всех данных и источников таких данных, а также методы оценки, используемых при оценке рыночного риска;</w:t>
      </w:r>
    </w:p>
    <w:p>
      <w:pPr>
        <w:spacing w:after="120"/>
        <w:jc w:val="both"/>
      </w:pPr>
      <w:r>
        <w:rPr>
          <w:rFonts w:ascii="Arial" w:cs="Arial" w:eastAsia="Arial" w:hAnsi="Arial"/>
          <w:sz w:val="24"/>
          <w:szCs w:val="24"/>
        </w:rPr>
        <w:t xml:space="preserve">- адекватность используемой банком системы управления рыночным риском;</w:t>
      </w:r>
    </w:p>
    <w:p>
      <w:pPr>
        <w:spacing w:after="120"/>
        <w:jc w:val="both"/>
      </w:pPr>
      <w:r>
        <w:rPr>
          <w:rFonts w:ascii="Arial" w:cs="Arial" w:eastAsia="Arial" w:hAnsi="Arial"/>
          <w:sz w:val="24"/>
          <w:szCs w:val="24"/>
        </w:rPr>
        <w:t xml:space="preserve">- достоверность, полнота, целостность и согласованность всех данных и источников таких данных, а также методы оценки, используемых при оценке рыночного риска.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go4ivycoz210eyfzzlw7k">
        <w:r>
          <w:rPr>
            <w:rFonts w:ascii="Arial" w:cs="Arial" w:eastAsia="Arial" w:hAnsi="Arial"/>
            <w:color w:val="1D4ED8"/>
            <w:sz w:val="24"/>
            <w:szCs w:val="24"/>
            <w:u w:val="single"/>
          </w:rPr>
          <w:t xml:space="preserve">20 июня 2018 года № 2018-П-12/24-1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4. Требования к управлению риском процентной ставки</w:t>
      </w:r>
    </w:p>
    <w:p>
      <w:pPr>
        <w:spacing w:after="120"/>
        <w:jc w:val="both"/>
      </w:pPr>
      <w:r>
        <w:rPr>
          <w:rFonts w:ascii="Arial" w:cs="Arial" w:eastAsia="Arial" w:hAnsi="Arial"/>
          <w:sz w:val="24"/>
          <w:szCs w:val="24"/>
        </w:rPr>
        <w:t xml:space="preserve">4.1. Политика по управлению риском процентной ставки, которая может быть составным элементом политики по управлению рыночным риском, как минимум, должна содержать:</w:t>
      </w:r>
    </w:p>
    <w:p>
      <w:pPr>
        <w:spacing w:after="120"/>
        <w:jc w:val="both"/>
      </w:pPr>
      <w:r>
        <w:rPr>
          <w:rFonts w:ascii="Arial" w:cs="Arial" w:eastAsia="Arial" w:hAnsi="Arial"/>
          <w:sz w:val="24"/>
          <w:szCs w:val="24"/>
        </w:rPr>
        <w:t xml:space="preserve">- описание процесса оценки риска процентной ставки, который также предусматривает определение лимитов по риску процентной ставки при проведении банковских и торговых операций. Данные лимиты учитываются при управлении активами и обязательствами банка, а также соответствуют риск аппетиту и капиталу банка;</w:t>
      </w:r>
    </w:p>
    <w:p>
      <w:pPr>
        <w:spacing w:after="120"/>
        <w:jc w:val="both"/>
      </w:pPr>
      <w:r>
        <w:rPr>
          <w:rFonts w:ascii="Arial" w:cs="Arial" w:eastAsia="Arial" w:hAnsi="Arial"/>
          <w:sz w:val="24"/>
          <w:szCs w:val="24"/>
        </w:rPr>
        <w:t xml:space="preserve">- четкое определение полномочий и ответственности Правления банка и/или соответствующего органа, назначенного Советом директоров банка, за принятие решений по управлению риском процентной ставки, включая одобрение соответствующих лимитов;</w:t>
      </w:r>
    </w:p>
    <w:p>
      <w:pPr>
        <w:spacing w:after="120"/>
        <w:jc w:val="both"/>
      </w:pPr>
      <w:r>
        <w:rPr>
          <w:rFonts w:ascii="Arial" w:cs="Arial" w:eastAsia="Arial" w:hAnsi="Arial"/>
          <w:sz w:val="24"/>
          <w:szCs w:val="24"/>
        </w:rPr>
        <w:t xml:space="preserve">- разграничение полномочий и ответственности структурных подразделений/сотрудников банка по реализации политики и процедур по управлению риском процентной ставки. Лица, ответственные за мониторинг и контроль риска, должны быть независимы от лиц, выполняющих операции, несущие риск процентных ставок;</w:t>
      </w:r>
    </w:p>
    <w:p>
      <w:pPr>
        <w:spacing w:after="120"/>
        <w:jc w:val="both"/>
      </w:pPr>
      <w:r>
        <w:rPr>
          <w:rFonts w:ascii="Arial" w:cs="Arial" w:eastAsia="Arial" w:hAnsi="Arial"/>
          <w:sz w:val="24"/>
          <w:szCs w:val="24"/>
        </w:rPr>
        <w:t xml:space="preserve">- требования к управленческой информационной системе (УИС), собирающей данные о рисках процентной ставки по всем направлениям деятельности банка. УИС должна обеспечить своевременное предоставление информации для Правления и Совета директоров банка об уровне риска процентной ставки;</w:t>
      </w:r>
    </w:p>
    <w:p>
      <w:pPr>
        <w:spacing w:after="120"/>
        <w:jc w:val="both"/>
      </w:pPr>
      <w:r>
        <w:rPr>
          <w:rFonts w:ascii="Arial" w:cs="Arial" w:eastAsia="Arial" w:hAnsi="Arial"/>
          <w:sz w:val="24"/>
          <w:szCs w:val="24"/>
        </w:rPr>
        <w:t xml:space="preserve">- требования к отчетности банка, которая должна включать информацию, достаточную для своевременного принятия управленческих решений и осуществления контроля Советом директоров;</w:t>
      </w:r>
    </w:p>
    <w:p>
      <w:pPr>
        <w:spacing w:after="120"/>
        <w:jc w:val="both"/>
      </w:pPr>
      <w:r>
        <w:rPr>
          <w:rFonts w:ascii="Arial" w:cs="Arial" w:eastAsia="Arial" w:hAnsi="Arial"/>
          <w:sz w:val="24"/>
          <w:szCs w:val="24"/>
        </w:rPr>
        <w:t xml:space="preserve">- определение процессов и принципов, связанных с новыми продуктами.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0imkjdtzdtconyuehdcua">
        <w:r>
          <w:rPr>
            <w:rFonts w:ascii="Arial" w:cs="Arial" w:eastAsia="Arial" w:hAnsi="Arial"/>
            <w:color w:val="1D4ED8"/>
            <w:sz w:val="24"/>
            <w:szCs w:val="24"/>
            <w:u w:val="single"/>
          </w:rPr>
          <w:t xml:space="preserve">20 июня 2018 года № 2018-П-12/24-1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4.2. Методы измерения риска процентной ставки могут различаться в зависимости от природы и сложности риска, возникающего в деятельности банка. Банки могут применять разные методы, но, как минимум, должны проводить гэп-анализ и стресс-тестирование (</w:t>
      </w:r>
      <w:hyperlink w:history="1" r:id="rIdig8dtlrx2sbxu9bxaikmn">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4.2.1. Гэп-анализ используется для измерения разницы между активами и обязательствами, чувствительными к изменению процентных ставок, в данный период времени.</w:t>
      </w:r>
    </w:p>
    <w:p>
      <w:pPr>
        <w:spacing w:after="60"/>
        <w:ind w:firstLine="567"/>
        <w:jc w:val="both"/>
      </w:pPr>
      <w:r>
        <w:rPr>
          <w:rFonts w:ascii="Arial" w:cs="Arial" w:eastAsia="Arial" w:hAnsi="Arial"/>
          <w:sz w:val="24"/>
          <w:szCs w:val="24"/>
        </w:rPr>
        <w:t xml:space="preserve">4.2.3. Основной задачей стресс-тестирования является оценка чувствительности баланса банка к влиянию банковских рисков, а также оценка способности капитала банка компенсировать возможные крупные убытки при различных сценариях дальнейшего развития событий.</w:t>
      </w:r>
    </w:p>
    <w:p>
      <w:pPr>
        <w:spacing w:after="120"/>
        <w:jc w:val="both"/>
      </w:pPr>
      <w:r>
        <w:rPr>
          <w:rFonts w:ascii="Arial" w:cs="Arial" w:eastAsia="Arial" w:hAnsi="Arial"/>
          <w:sz w:val="24"/>
          <w:szCs w:val="24"/>
        </w:rPr>
        <w:t xml:space="preserve">4.3. Измерение процентного риска должно охватывать риск переоценки, базовый риск, риск опциона и кривую доходности.</w:t>
      </w:r>
    </w:p>
    <w:p>
      <w:pPr>
        <w:spacing w:after="120"/>
        <w:jc w:val="both"/>
      </w:pPr>
      <w:r>
        <w:rPr>
          <w:rFonts w:ascii="Arial" w:cs="Arial" w:eastAsia="Arial" w:hAnsi="Arial"/>
          <w:sz w:val="24"/>
          <w:szCs w:val="24"/>
        </w:rPr>
        <w:t xml:space="preserve">Совет директоров и Правление банка должны регулярно, но не реже одного раза в полгода, анализировать результаты стресс-тестирования, в том числе основные предположения, лежащие в их основе. Результаты таких работ следует учитывать при создании и пересмотре политики по управлению рыночным риском. Учитывая потенциальные потери, прогнозируемые стресс-тестами и вероятность возникновения таких потерь Совет директоров и Правление банка, могут принять дополнительные меры для усиления управления рисками.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d02h92m1cd9293hmwum-f">
        <w:r>
          <w:rPr>
            <w:rFonts w:ascii="Arial" w:cs="Arial" w:eastAsia="Arial" w:hAnsi="Arial"/>
            <w:color w:val="1D4ED8"/>
            <w:sz w:val="24"/>
            <w:szCs w:val="24"/>
            <w:u w:val="single"/>
          </w:rPr>
          <w:t xml:space="preserve">20 июня 2018 года № 2018-П-12/24-1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5. Требования к управлению валютным риском</w:t>
      </w:r>
    </w:p>
    <w:p>
      <w:pPr>
        <w:spacing w:after="60"/>
        <w:ind w:firstLine="567"/>
        <w:jc w:val="both"/>
      </w:pPr>
      <w:r>
        <w:rPr>
          <w:rFonts w:ascii="Arial" w:cs="Arial" w:eastAsia="Arial" w:hAnsi="Arial"/>
          <w:sz w:val="24"/>
          <w:szCs w:val="24"/>
        </w:rPr>
        <w:t xml:space="preserve">5.1. Политика по управлению валютным риском, которая может быть составной частью политики по управлению рыночным риском, должна, как минимум, содержать:</w:t>
      </w:r>
    </w:p>
    <w:p>
      <w:pPr>
        <w:spacing w:after="60"/>
        <w:ind w:firstLine="567"/>
        <w:jc w:val="both"/>
      </w:pPr>
      <w:r>
        <w:rPr>
          <w:rFonts w:ascii="Arial" w:cs="Arial" w:eastAsia="Arial" w:hAnsi="Arial"/>
          <w:sz w:val="24"/>
          <w:szCs w:val="24"/>
        </w:rPr>
        <w:t xml:space="preserve">- описание процесса оценки валютного риска, который также предусматривает определение лимитов по валютному риску при проведении банковских и торговых операций, включая лимиты по валютному риску, установленные НБКР;</w:t>
      </w:r>
    </w:p>
    <w:p>
      <w:pPr>
        <w:spacing w:after="60"/>
        <w:ind w:firstLine="567"/>
        <w:jc w:val="both"/>
      </w:pPr>
      <w:r>
        <w:rPr>
          <w:rFonts w:ascii="Arial" w:cs="Arial" w:eastAsia="Arial" w:hAnsi="Arial"/>
          <w:sz w:val="24"/>
          <w:szCs w:val="24"/>
        </w:rPr>
        <w:t xml:space="preserve">- виды операций в иностранной валюте, которые банк намеревается осуществлять, а также операции в иностранной валюте, запрещенные Советом директоров банка;</w:t>
      </w:r>
    </w:p>
    <w:p>
      <w:pPr>
        <w:spacing w:after="60"/>
        <w:ind w:firstLine="567"/>
        <w:jc w:val="both"/>
      </w:pPr>
      <w:r>
        <w:rPr>
          <w:rFonts w:ascii="Arial" w:cs="Arial" w:eastAsia="Arial" w:hAnsi="Arial"/>
          <w:sz w:val="24"/>
          <w:szCs w:val="24"/>
        </w:rPr>
        <w:t xml:space="preserve">- четкое определение полномочий и ответственности Правления банка за принятие решений по управлению валютным риском, включая одобрение индивидуальных лимитов для дилеров и лимитов по открытым валютным позициям, лимитов на суммы индивидуальных контрактов и лимитов по индивидуальным контрагентам;</w:t>
      </w:r>
    </w:p>
    <w:p>
      <w:pPr>
        <w:spacing w:after="60"/>
        <w:ind w:firstLine="567"/>
        <w:jc w:val="both"/>
      </w:pPr>
      <w:r>
        <w:rPr>
          <w:rFonts w:ascii="Arial" w:cs="Arial" w:eastAsia="Arial" w:hAnsi="Arial"/>
          <w:sz w:val="24"/>
          <w:szCs w:val="24"/>
        </w:rPr>
        <w:t xml:space="preserve">- требования к управленческой информационной системе (УИС), позволяющей немедленно заносить в учет валютные операции и определять как суммарную валютную позицию банка, так и позиции по каждой валюте на постоянной основе в режиме реального времени;</w:t>
      </w:r>
    </w:p>
    <w:p>
      <w:pPr>
        <w:spacing w:after="60"/>
        <w:ind w:firstLine="567"/>
        <w:jc w:val="both"/>
      </w:pPr>
      <w:r>
        <w:rPr>
          <w:rFonts w:ascii="Arial" w:cs="Arial" w:eastAsia="Arial" w:hAnsi="Arial"/>
          <w:sz w:val="24"/>
          <w:szCs w:val="24"/>
        </w:rPr>
        <w:t xml:space="preserve">- четкое разделение ответственности между структурными подразделениями, осуществляющими работу с клиентами (фронт-офис), учет операций (бэк-офис);</w:t>
      </w:r>
    </w:p>
    <w:p>
      <w:pPr>
        <w:spacing w:after="60"/>
        <w:ind w:firstLine="567"/>
        <w:jc w:val="both"/>
      </w:pPr>
      <w:r>
        <w:rPr>
          <w:rFonts w:ascii="Arial" w:cs="Arial" w:eastAsia="Arial" w:hAnsi="Arial"/>
          <w:sz w:val="24"/>
          <w:szCs w:val="24"/>
        </w:rPr>
        <w:t xml:space="preserve">- требования к отчетности банка, которая должна включать информацию, достаточную для своевременного принятия управленческих решений и осуществления контроля Советом директоров.</w:t>
      </w:r>
    </w:p>
    <w:p>
      <w:pPr>
        <w:spacing w:after="60"/>
        <w:ind w:firstLine="567"/>
        <w:jc w:val="both"/>
      </w:pPr>
      <w:r>
        <w:rPr>
          <w:rFonts w:ascii="Arial" w:cs="Arial" w:eastAsia="Arial" w:hAnsi="Arial"/>
          <w:sz w:val="24"/>
          <w:szCs w:val="24"/>
        </w:rPr>
        <w:t xml:space="preserve">5.2. Методы управления валютным риском могут различаться в зависимости от природы и сложности риска, возникающего в деятельности банка. Оценка риска должна включать, как минимум:</w:t>
      </w:r>
    </w:p>
    <w:p>
      <w:pPr>
        <w:spacing w:after="60"/>
        <w:ind w:firstLine="567"/>
        <w:jc w:val="both"/>
      </w:pPr>
      <w:r>
        <w:rPr>
          <w:rFonts w:ascii="Arial" w:cs="Arial" w:eastAsia="Arial" w:hAnsi="Arial"/>
          <w:sz w:val="24"/>
          <w:szCs w:val="24"/>
        </w:rPr>
        <w:t xml:space="preserve">5.2.1. Измерение валютного риска банка, в том числе расчет открытой валютной позиции (</w:t>
      </w:r>
      <w:r>
        <w:rPr>
          <w:rFonts w:ascii="Arial" w:cs="Arial" w:eastAsia="Arial" w:hAnsi="Arial"/>
          <w:sz w:val="24"/>
          <w:szCs w:val="24"/>
        </w:rPr>
        <w:t xml:space="preserve">см. примечание 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5.2.2. Учет валютного риска при управлении ликвидностью банка. В частности, при использовании банком национальной или другой валюты для покупки третьей валюты, валютная ликвидность должна измеряться и тестироваться с помощью стресс-тестирования и во взаимосвязи с ликвидностью национальной валюты банка.</w:t>
      </w:r>
    </w:p>
    <w:p>
      <w:pPr>
        <w:spacing w:after="60"/>
        <w:ind w:firstLine="567"/>
        <w:jc w:val="both"/>
      </w:pPr>
      <w:r>
        <w:rPr>
          <w:rFonts w:ascii="Arial" w:cs="Arial" w:eastAsia="Arial" w:hAnsi="Arial"/>
          <w:sz w:val="24"/>
          <w:szCs w:val="24"/>
        </w:rPr>
        <w:t xml:space="preserve">5.2.3. Оценку влияния колебаний валютных курсов на банк. Банки должны использовать стресс-тестирование для определения потенциальных валютных убытков при чрезвычайных ситуациях. При этом рекомендуется рассматривать влияние на капитал банка исторических экстремальных колебаний курсов валют, а также моделировать реалистичные, но экстремальные сценарии, позволяющие определить устойчивость банка в условиях различных уровней риска.</w:t>
      </w:r>
    </w:p>
    <w:p>
      <w:pPr>
        <w:spacing w:after="200" w:before="200"/>
        <w:jc w:val="center"/>
      </w:pPr>
      <w:r>
        <w:rPr>
          <w:rFonts w:ascii="Arial" w:cs="Arial" w:eastAsia="Arial" w:hAnsi="Arial"/>
          <w:b/>
          <w:bCs/>
          <w:sz w:val="24"/>
          <w:szCs w:val="24"/>
        </w:rPr>
        <w:t xml:space="preserve">6. Требования по управлению риском изменения цен на акции и товары</w:t>
      </w:r>
    </w:p>
    <w:p>
      <w:pPr>
        <w:spacing w:after="60"/>
        <w:ind w:firstLine="567"/>
        <w:jc w:val="both"/>
      </w:pPr>
      <w:r>
        <w:rPr>
          <w:rFonts w:ascii="Arial" w:cs="Arial" w:eastAsia="Arial" w:hAnsi="Arial"/>
          <w:sz w:val="24"/>
          <w:szCs w:val="24"/>
        </w:rPr>
        <w:t xml:space="preserve">6.1. Риск изменения цен на акции и товары возникает при неблагоприятных изменениях цен на акции или драгоценные металлы, принадлежащие банку.</w:t>
      </w:r>
    </w:p>
    <w:p>
      <w:pPr>
        <w:spacing w:after="60"/>
        <w:ind w:firstLine="567"/>
        <w:jc w:val="both"/>
      </w:pPr>
      <w:r>
        <w:rPr>
          <w:rFonts w:ascii="Arial" w:cs="Arial" w:eastAsia="Arial" w:hAnsi="Arial"/>
          <w:sz w:val="24"/>
          <w:szCs w:val="24"/>
        </w:rPr>
        <w:t xml:space="preserve">6.2. Торговля акциями и финансовое участие в акционерном капитале подвергают банк ценовому риску, поскольку изменения курсов акций могут неблагоприятно повлиять на доходность и капитал банка.</w:t>
      </w:r>
    </w:p>
    <w:p>
      <w:pPr>
        <w:spacing w:after="60"/>
        <w:ind w:firstLine="567"/>
        <w:jc w:val="both"/>
      </w:pPr>
      <w:r>
        <w:rPr>
          <w:rFonts w:ascii="Arial" w:cs="Arial" w:eastAsia="Arial" w:hAnsi="Arial"/>
          <w:sz w:val="24"/>
          <w:szCs w:val="24"/>
        </w:rPr>
        <w:t xml:space="preserve">6.3. Банк может осуществлять операции с драгоценными металлами только на основании дополнительной лицензии, выданной в соответствии с требованиями, установленными НБКР.</w:t>
      </w:r>
    </w:p>
    <w:p>
      <w:pPr>
        <w:spacing w:after="60"/>
        <w:ind w:firstLine="567"/>
        <w:jc w:val="both"/>
      </w:pPr>
      <w:r>
        <w:rPr>
          <w:rFonts w:ascii="Arial" w:cs="Arial" w:eastAsia="Arial" w:hAnsi="Arial"/>
          <w:sz w:val="24"/>
          <w:szCs w:val="24"/>
        </w:rPr>
        <w:t xml:space="preserve">6.4. Управление риском изменения цен на драгоценные металлы может быть аналогичным управлению валютным риском, учитывая схожесть валютного рынка и рынка драгоценных металлов.</w:t>
      </w:r>
    </w:p>
    <w:p>
      <w:pPr>
        <w:spacing w:after="60"/>
        <w:ind w:firstLine="567"/>
        <w:jc w:val="both"/>
      </w:pPr>
      <w:r>
        <w:rPr>
          <w:rFonts w:ascii="Arial" w:cs="Arial" w:eastAsia="Arial" w:hAnsi="Arial"/>
          <w:sz w:val="24"/>
          <w:szCs w:val="24"/>
        </w:rPr>
        <w:t xml:space="preserve">6.5. Банки, осуществляющие данные виды деятельности, должны создать соответствующие системы контроля рисков, которые должны соответствовать требованиям, установленным в настоящем Положении.</w:t>
      </w:r>
    </w:p>
    <w:p>
      <w:pPr>
        <w:spacing w:after="60"/>
        <w:ind w:firstLine="567"/>
        <w:jc w:val="both"/>
      </w:pPr>
      <w:r>
        <w:rPr>
          <w:rFonts w:ascii="Arial" w:cs="Arial" w:eastAsia="Arial" w:hAnsi="Arial"/>
          <w:sz w:val="24"/>
          <w:szCs w:val="24"/>
        </w:rPr>
        <w:t xml:space="preserve">6.6. Совет директоров и Правление банка несут ответственность за своевременное выявление, оценку, мониторинг и контроль за рисками в торговой деятельности. Правление банка должно проводить тщательный мониторинг всех инвестиций в долевые ценные бумаги, регулярно проводить оценку подверженности банка рыночному риску, включая ценовой риск, и своевременно предоставлять отчеты Совету директоров.</w:t>
      </w:r>
    </w:p>
    <w:p>
      <w:pPr>
        <w:spacing w:after="200" w:before="200"/>
        <w:jc w:val="center"/>
      </w:pPr>
      <w:r>
        <w:rPr>
          <w:rFonts w:ascii="Arial" w:cs="Arial" w:eastAsia="Arial" w:hAnsi="Arial"/>
          <w:b/>
          <w:bCs/>
          <w:sz w:val="24"/>
          <w:szCs w:val="24"/>
        </w:rPr>
        <w:t xml:space="preserve">7. Раскрытие информации по управлению рыночным риском</w:t>
      </w:r>
    </w:p>
    <w:p>
      <w:pPr>
        <w:spacing w:after="60"/>
        <w:ind w:firstLine="567"/>
        <w:jc w:val="both"/>
      </w:pPr>
      <w:r>
        <w:rPr>
          <w:rFonts w:ascii="Arial" w:cs="Arial" w:eastAsia="Arial" w:hAnsi="Arial"/>
          <w:sz w:val="24"/>
          <w:szCs w:val="24"/>
        </w:rPr>
        <w:t xml:space="preserve">7.1. Банк должен раскрывать информацию по обеспечению мер, снижающих рыночный риск, в рамках годового отчета банка. Объем раскрытия информации должен соответствовать степени и уровню подверженности банка рыночному риску.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 (1) - В соответствии с Положением "О минимальных требованиях по управлению рисками в банках Кыргызской Республики", утверждаемым постановлением Правления Национального банка Кыргызской Республики.</w:t>
      </w:r>
    </w:p>
    <w:p>
      <w:pPr>
        <w:spacing w:after="60"/>
        <w:ind w:firstLine="567"/>
        <w:jc w:val="both"/>
      </w:pPr>
      <w:r>
        <w:rPr>
          <w:rFonts w:ascii="Arial" w:cs="Arial" w:eastAsia="Arial" w:hAnsi="Arial"/>
          <w:sz w:val="24"/>
          <w:szCs w:val="24"/>
        </w:rPr>
        <w:t xml:space="preserve"> (2) - Например, банк, выдавший долгосрочный кредит с фиксированной процентной ставкой, и имеющий краткосрочный депозит, может столкнуться с уменьшением будущего дохода, возникающего в результате увеличения рыночной процентной ставки. Денежные средства, поступающие от кредита, являются фиксированными в течение всего срока, в то время как проценты, выплачиваемые по краткосрочным привлечениям, увеличиваются, что отрицательно влияет на доход банка.</w:t>
      </w:r>
    </w:p>
    <w:p>
      <w:pPr>
        <w:spacing w:after="60"/>
        <w:ind w:firstLine="567"/>
        <w:jc w:val="both"/>
      </w:pPr>
      <w:r>
        <w:rPr>
          <w:rFonts w:ascii="Arial" w:cs="Arial" w:eastAsia="Arial" w:hAnsi="Arial"/>
          <w:sz w:val="24"/>
          <w:szCs w:val="24"/>
        </w:rPr>
        <w:t xml:space="preserve"> (3) - Например, банк покупает на рынке долговое обязательство, которое переоценивается в соответствии с индексом LIBOR, и финансирует эту покупку депозитом, процентная ставка по которому переоценивается в соответствии с изменениями процентной ставки по ГКВ. В этом случае возникает базисный риск, т.к. переоценка данных финансовых инструментов зависит от различных факторов (индекс LIBOR и процентная ставка по ГКВ).</w:t>
      </w:r>
    </w:p>
    <w:p>
      <w:pPr>
        <w:spacing w:after="60"/>
        <w:ind w:firstLine="567"/>
        <w:jc w:val="both"/>
      </w:pPr>
      <w:r>
        <w:rPr>
          <w:rFonts w:ascii="Arial" w:cs="Arial" w:eastAsia="Arial" w:hAnsi="Arial"/>
          <w:sz w:val="24"/>
          <w:szCs w:val="24"/>
        </w:rPr>
        <w:t xml:space="preserve"> (4) - Примером может служить погашение кредита раньше срока, предусмотренного кредитным договором, или досрочное изъятие депозита.</w:t>
      </w:r>
    </w:p>
    <w:p>
      <w:pPr>
        <w:spacing w:after="60"/>
        <w:ind w:firstLine="567"/>
        <w:jc w:val="both"/>
      </w:pPr>
      <w:r>
        <w:rPr>
          <w:rFonts w:ascii="Arial" w:cs="Arial" w:eastAsia="Arial" w:hAnsi="Arial"/>
          <w:sz w:val="24"/>
          <w:szCs w:val="24"/>
        </w:rPr>
        <w:t xml:space="preserve"> (5) - Примером может служить кредитование заемщика в иностранной валюте. В случае девальвации национальной валюты стоимость обслуживания кредита в иностранной валюте может значительно увеличиться и отрицательно повлиять на способность заемщика вернуть кредит. Это, в свою очередь, подвергает банк валютному риску при исполнении им валютных обязательств.</w:t>
      </w:r>
    </w:p>
    <w:p>
      <w:pPr>
        <w:spacing w:after="60"/>
        <w:ind w:firstLine="567"/>
        <w:jc w:val="both"/>
      </w:pPr>
      <w:r>
        <w:rPr>
          <w:rFonts w:ascii="Arial" w:cs="Arial" w:eastAsia="Arial" w:hAnsi="Arial"/>
          <w:sz w:val="24"/>
          <w:szCs w:val="24"/>
        </w:rPr>
        <w:t xml:space="preserve"> (6) - В соответствии с Инструкцией "О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 утверждаемой постановлением Правления Национального банка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h3sf1bdb2l5xhhv6txjny">
        <w:r>
          <w:rPr>
            <w:rFonts w:ascii="Arial" w:cs="Arial" w:eastAsia="Arial" w:hAnsi="Arial"/>
            <w:i/>
            <w:iCs/>
            <w:color w:val="1D4ED8"/>
            <w:sz w:val="24"/>
            <w:szCs w:val="24"/>
            <w:u w:val="single"/>
          </w:rPr>
          <w:t xml:space="preserve">15 июня 2017 года № 2017-П-12/25-7</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минимальных требованиях по управлению рыночным риском в коммерческих банках и других финансово-кредитных организациях, лицензируемых Национальным банком Кыргызской Республики</w:t>
      </w:r>
    </w:p>
    <w:p>
      <w:pPr>
        <w:spacing w:after="200" w:before="200"/>
        <w:jc w:val="center"/>
      </w:pPr>
      <w:r>
        <w:rPr>
          <w:rFonts w:ascii="Arial" w:cs="Arial" w:eastAsia="Arial" w:hAnsi="Arial"/>
          <w:b/>
          <w:bCs/>
          <w:sz w:val="24"/>
          <w:szCs w:val="24"/>
        </w:rPr>
        <w:t xml:space="preserve">1. Гэп-анализ</w:t>
      </w:r>
    </w:p>
    <w:p>
      <w:pPr>
        <w:spacing w:after="60"/>
        <w:ind w:firstLine="567"/>
        <w:jc w:val="both"/>
      </w:pPr>
      <w:r>
        <w:rPr>
          <w:rFonts w:ascii="Arial" w:cs="Arial" w:eastAsia="Arial" w:hAnsi="Arial"/>
          <w:sz w:val="24"/>
          <w:szCs w:val="24"/>
        </w:rPr>
        <w:t xml:space="preserve">Гэп-анализ, или составление отчета о чувствительности к изменению процентной ставки, является самым распространенным инструментом оценки риска процентной ставки. Данный отчет классифицирует счета активов и обязательств (как на балансе, так и за балансом) в зависимости от времени, оставшегося до проведения переоценки в отдельные периоды времени. Используемые периоды времени варьируются в зависимости от практики банка, но обычно включают: овернайт, от 1 дня - 1 месяца, от 1-3 месяцев, от 3-6 месяцев, от 6 месяцев - 1 года, от 1-2 лет, от 2-5 лет, и свыше 5 лет.</w:t>
      </w:r>
    </w:p>
    <w:p>
      <w:pPr>
        <w:spacing w:after="60"/>
        <w:ind w:firstLine="567"/>
        <w:jc w:val="both"/>
      </w:pPr>
      <w:r>
        <w:rPr>
          <w:rFonts w:ascii="Arial" w:cs="Arial" w:eastAsia="Arial" w:hAnsi="Arial"/>
          <w:sz w:val="24"/>
          <w:szCs w:val="24"/>
        </w:rPr>
        <w:t xml:space="preserve">При проведении гэп-анализа все банковские активы, обязательства и забалансовые инструменты помещают во временные диапазоны, основываясь на следующей дате переоценки или погашения инструмента. Затем остатки, имеющиеся по временным диапазонам, суммируются (суммы по активам показываются со знаком плюс и суммы по обязательствам показываются со знаком минус) для определения чистой гэп-позиции по каждому временному диапазону. Оценка риска производится по размеру гэпа (сумма чистой разницы в течение временного диапазона) и продолжительности времени, в течение которого открыта гэп-позиция. Используя гэп-отчеты, банк может выявить и произвести оценку краткосрочных и долгосрочных разниц, возникающих от переоценки. Имея такую информацию, банк может оценить свою доходность и экономические риски в пределах определенных ограничений. Гэп-анализ может, в частности, применяться для выявления риска переоценки текущей структуры банковского баланса до того, как будут приняты решения о новом виде деятельности или о том, как эффективно реинвестировать суммы, по которым наступает срок погашения.</w:t>
      </w:r>
    </w:p>
    <w:p>
      <w:pPr>
        <w:spacing w:after="60"/>
        <w:ind w:firstLine="567"/>
        <w:jc w:val="both"/>
      </w:pPr>
      <w:r>
        <w:rPr>
          <w:rFonts w:ascii="Arial" w:cs="Arial" w:eastAsia="Arial" w:hAnsi="Arial"/>
          <w:sz w:val="24"/>
          <w:szCs w:val="24"/>
        </w:rPr>
        <w:t xml:space="preserve">Если банк осуществляет значительный объем деятельности в иностранных валютах, он должен проводить отдельный гэп-анализ по каждой валюте, потому что процентные ставки на активы и обязательства в иностранной валюте могут колебаться в различных направлениях, а изменчивость таких процентных ставок также может существенно отличаться от тенденций колебаний процентных ставок по активам и обязательствам в сомах.</w:t>
      </w:r>
    </w:p>
    <w:p>
      <w:pPr>
        <w:spacing w:after="60"/>
        <w:ind w:firstLine="567"/>
        <w:jc w:val="both"/>
      </w:pPr>
      <w:r>
        <w:rPr>
          <w:rFonts w:ascii="Arial" w:cs="Arial" w:eastAsia="Arial" w:hAnsi="Arial"/>
          <w:sz w:val="24"/>
          <w:szCs w:val="24"/>
        </w:rPr>
        <w:t xml:space="preserve">Счета без указанных сроков погашения или дат переоценки, или счета, не приносящие процентный доход (например, расчетные счета) могут казаться нечувствительными к процентной ставке. Тем не менее, некоторые из этих счетов могут быть чрезвычайно чувствительными к изменениям процентных ставок. Например, при повышении рыночных процентных ставок, отдельные клиенты могут перевести свои деньги на счета, приносящие процентный доход или просто уйти из банка в поисках высоких процентных ставок. С другой стороны, когда рыночные процентные ставки низкие, клиенты могут принять решение о нецелесообразности перевода денег. Более того, некоторые расчетные счета могут подвергаться сезонным колебаниям, например, средства фермеров, предприятий переработки сельскохозяйственной продукции, или предприятий, связанных с туризмом.</w:t>
      </w:r>
    </w:p>
    <w:p>
      <w:pPr>
        <w:spacing w:after="60"/>
        <w:ind w:firstLine="567"/>
        <w:jc w:val="both"/>
      </w:pPr>
      <w:r>
        <w:rPr>
          <w:rFonts w:ascii="Arial" w:cs="Arial" w:eastAsia="Arial" w:hAnsi="Arial"/>
          <w:sz w:val="24"/>
          <w:szCs w:val="24"/>
        </w:rPr>
        <w:t xml:space="preserve">Таким образом, важно, чтобы менеджмент банка тщательно анализировал клиентскую базу для составления предположений относительно динамики депозитной базы.</w:t>
      </w:r>
    </w:p>
    <w:p>
      <w:pPr>
        <w:spacing w:after="60"/>
        <w:ind w:firstLine="567"/>
        <w:jc w:val="both"/>
      </w:pPr>
      <w:r>
        <w:rPr>
          <w:rFonts w:ascii="Arial" w:cs="Arial" w:eastAsia="Arial" w:hAnsi="Arial"/>
          <w:sz w:val="24"/>
          <w:szCs w:val="24"/>
        </w:rPr>
        <w:t xml:space="preserve">За каждый период времени переоцениваемые обязательства вычитаются из переоцениваемых активов для получения переоцениваемого несовпадения или гэпа. Если больше производится переоценка активов, чем обязательств в установленном периоде (положительный гэп), доходы повышаются по мере повышения процентных ставок. В случае отрицательного гэпа, доходы будут снижаться по мере повышения процентных ставок (поскольку будут больше переоцениваться обязательства, чем активы).</w:t>
      </w:r>
    </w:p>
    <w:p>
      <w:pPr>
        <w:spacing w:after="60"/>
        <w:ind w:firstLine="567"/>
        <w:jc w:val="both"/>
      </w:pPr>
      <w:r>
        <w:rPr>
          <w:rFonts w:ascii="Arial" w:cs="Arial" w:eastAsia="Arial" w:hAnsi="Arial"/>
          <w:sz w:val="24"/>
          <w:szCs w:val="24"/>
        </w:rPr>
        <w:t xml:space="preserve">Например, кредит на сумму 500,000 сом с фиксированной процентной ставкой, срок погашения которого наступает через 12 месяцев и финансируемый 30 дневными депозитами создаст отрицательный гэп в размере 500,000 сом с 1 дня в течение всех 12 месяцев до наступления срока погашения кредита. Если в 1 день процентные ставки повысятся на один процентный пункт, и будут сохраняться на данном новом уровне, чистый процентный доход снизится на 5,000 сом (500,000 х 1%).</w:t>
      </w:r>
    </w:p>
    <w:p>
      <w:pPr>
        <w:spacing w:after="60"/>
        <w:ind w:firstLine="567"/>
        <w:jc w:val="both"/>
      </w:pPr>
      <w:r>
        <w:rPr>
          <w:rFonts w:ascii="Arial" w:cs="Arial" w:eastAsia="Arial" w:hAnsi="Arial"/>
          <w:sz w:val="24"/>
          <w:szCs w:val="24"/>
        </w:rPr>
        <w:t xml:space="preserve">Вышеуказанный пример предполагает ситуацию, при которой, несмотря на ежемесячный отрицательный гэп, изменение процентных ставок незначительно отражается на доходности банка. Тем не менее, банк подвержен изменениям процентной ставки в течение одного года (чувствительность в рамках периода). Поэтому важно, чтобы при оценке банковской подверженности риску процентной ставки руководство банка использовало больше временных рамок, в особенности, в течение одного года.</w:t>
      </w:r>
    </w:p>
    <w:p>
      <w:pPr>
        <w:spacing w:after="60"/>
        <w:ind w:firstLine="567"/>
        <w:jc w:val="both"/>
      </w:pPr>
      <w:r>
        <w:rPr>
          <w:rFonts w:ascii="Arial" w:cs="Arial" w:eastAsia="Arial" w:hAnsi="Arial"/>
          <w:sz w:val="24"/>
          <w:szCs w:val="24"/>
        </w:rPr>
        <w:t xml:space="preserve">Установление лимитов на абсолютный размер конкретного гэпа или соотношения гэпа к доходоприносящим активам (или капиталу) является общепринятым средством ограничения общей подверженности риску. Банк заинтересован предусмотреть лимиты, ограничивающие уязвимость чистого процентного дохода в результате изменений в процентных ставках. Как правило, Правление банка по согласованию с Советом директоров устанавливает лимиты риска, которые банк готов принять (например, 15% от размера капитала или 10%-30% от размера чистого процентного дохода).</w:t>
      </w:r>
    </w:p>
    <w:p>
      <w:pPr>
        <w:spacing w:after="60"/>
        <w:ind w:firstLine="567"/>
        <w:jc w:val="both"/>
      </w:pPr>
      <w:r>
        <w:rPr>
          <w:rFonts w:ascii="Arial" w:cs="Arial" w:eastAsia="Arial" w:hAnsi="Arial"/>
          <w:sz w:val="24"/>
          <w:szCs w:val="24"/>
        </w:rPr>
        <w:t xml:space="preserve">Гэп-анализ является базовой мерой риска процентной ставки. Гэп-анализ имеет несколько преимуществ, в частности:</w:t>
      </w:r>
    </w:p>
    <w:p>
      <w:pPr>
        <w:spacing w:after="60"/>
        <w:ind w:firstLine="567"/>
        <w:jc w:val="both"/>
      </w:pPr>
      <w:r>
        <w:rPr>
          <w:rFonts w:ascii="Arial" w:cs="Arial" w:eastAsia="Arial" w:hAnsi="Arial"/>
          <w:sz w:val="24"/>
          <w:szCs w:val="24"/>
        </w:rPr>
        <w:t xml:space="preserve">- не требует сложной технологии;</w:t>
      </w:r>
    </w:p>
    <w:p>
      <w:pPr>
        <w:spacing w:after="60"/>
        <w:ind w:firstLine="567"/>
        <w:jc w:val="both"/>
      </w:pPr>
      <w:r>
        <w:rPr>
          <w:rFonts w:ascii="Arial" w:cs="Arial" w:eastAsia="Arial" w:hAnsi="Arial"/>
          <w:sz w:val="24"/>
          <w:szCs w:val="24"/>
        </w:rPr>
        <w:t xml:space="preserve">- может быть относительно простым для разработки и использования;</w:t>
      </w:r>
    </w:p>
    <w:p>
      <w:pPr>
        <w:spacing w:after="60"/>
        <w:ind w:firstLine="567"/>
        <w:jc w:val="both"/>
      </w:pPr>
      <w:r>
        <w:rPr>
          <w:rFonts w:ascii="Arial" w:cs="Arial" w:eastAsia="Arial" w:hAnsi="Arial"/>
          <w:sz w:val="24"/>
          <w:szCs w:val="24"/>
        </w:rPr>
        <w:t xml:space="preserve">- может предоставлять четкие, легко интерпретируемые результаты.</w:t>
      </w:r>
    </w:p>
    <w:p>
      <w:pPr>
        <w:spacing w:after="60"/>
        <w:ind w:firstLine="567"/>
        <w:jc w:val="both"/>
      </w:pPr>
      <w:r>
        <w:rPr>
          <w:rFonts w:ascii="Arial" w:cs="Arial" w:eastAsia="Arial" w:hAnsi="Arial"/>
          <w:sz w:val="24"/>
          <w:szCs w:val="24"/>
        </w:rPr>
        <w:t xml:space="preserve">При этом данному методу присущи некоторые недостатки, в частности:</w:t>
      </w:r>
    </w:p>
    <w:p>
      <w:pPr>
        <w:spacing w:after="60"/>
        <w:ind w:firstLine="567"/>
        <w:jc w:val="both"/>
      </w:pPr>
      <w:r>
        <w:rPr>
          <w:rFonts w:ascii="Arial" w:cs="Arial" w:eastAsia="Arial" w:hAnsi="Arial"/>
          <w:sz w:val="24"/>
          <w:szCs w:val="24"/>
        </w:rPr>
        <w:t xml:space="preserve">- в целом отражает только риск переоценки;</w:t>
      </w:r>
    </w:p>
    <w:p>
      <w:pPr>
        <w:spacing w:after="60"/>
        <w:ind w:firstLine="567"/>
        <w:jc w:val="both"/>
      </w:pPr>
      <w:r>
        <w:rPr>
          <w:rFonts w:ascii="Arial" w:cs="Arial" w:eastAsia="Arial" w:hAnsi="Arial"/>
          <w:sz w:val="24"/>
          <w:szCs w:val="24"/>
        </w:rPr>
        <w:t xml:space="preserve">- не отражает базисный риск;</w:t>
      </w:r>
    </w:p>
    <w:p>
      <w:pPr>
        <w:spacing w:after="60"/>
        <w:ind w:firstLine="567"/>
        <w:jc w:val="both"/>
      </w:pPr>
      <w:r>
        <w:rPr>
          <w:rFonts w:ascii="Arial" w:cs="Arial" w:eastAsia="Arial" w:hAnsi="Arial"/>
          <w:sz w:val="24"/>
          <w:szCs w:val="24"/>
        </w:rPr>
        <w:t xml:space="preserve">- предполагает, что текущий баланс остается постоянным в течение времени.</w:t>
      </w:r>
    </w:p>
    <w:p>
      <w:pPr>
        <w:spacing w:after="200" w:before="200"/>
        <w:jc w:val="center"/>
      </w:pPr>
      <w:r>
        <w:rPr>
          <w:rFonts w:ascii="Arial" w:cs="Arial" w:eastAsia="Arial" w:hAnsi="Arial"/>
          <w:b/>
          <w:bCs/>
          <w:sz w:val="24"/>
          <w:szCs w:val="24"/>
        </w:rPr>
        <w:t xml:space="preserve">2. Стресс-тестирование</w:t>
      </w:r>
    </w:p>
    <w:p>
      <w:pPr>
        <w:spacing w:after="60"/>
        <w:ind w:firstLine="567"/>
        <w:jc w:val="both"/>
      </w:pPr>
      <w:r>
        <w:rPr>
          <w:rFonts w:ascii="Arial" w:cs="Arial" w:eastAsia="Arial" w:hAnsi="Arial"/>
          <w:sz w:val="24"/>
          <w:szCs w:val="24"/>
        </w:rPr>
        <w:t xml:space="preserve">Стресс-тестирование является аналитическим инструментом оценки потенциальных потерь банка в случае возникновения неблагоприятных изменений как во внешней среде (например, спады в экономике, изменения процентных ставок, валютного курса, изменения в законодательстве и т.п.), так и в деятельности клиентов и контрагентов банка (например, банкротство крупных клиентов банка, отток депозитов, влияние изменения обменного курса на кредитоспособность клиента, процентных ставок и т.п.).</w:t>
      </w:r>
    </w:p>
    <w:p>
      <w:pPr>
        <w:spacing w:after="60"/>
        <w:ind w:firstLine="567"/>
        <w:jc w:val="both"/>
      </w:pPr>
      <w:r>
        <w:rPr>
          <w:rFonts w:ascii="Arial" w:cs="Arial" w:eastAsia="Arial" w:hAnsi="Arial"/>
          <w:sz w:val="24"/>
          <w:szCs w:val="24"/>
        </w:rPr>
        <w:t xml:space="preserve">Стресс-тестирование проводится посредством моделирования сценария развития событий, которые основаны на наличии экономического, политического и/или другого события (например, события, связанного с ухудшением имиджа банка, смены руководства и т.д.) и могут принести убытки банку, повлияв, соответственно, на размер капитала.</w:t>
      </w:r>
    </w:p>
    <w:p>
      <w:pPr>
        <w:spacing w:after="60"/>
        <w:ind w:firstLine="567"/>
        <w:jc w:val="both"/>
      </w:pPr>
      <w:r>
        <w:rPr>
          <w:rFonts w:ascii="Arial" w:cs="Arial" w:eastAsia="Arial" w:hAnsi="Arial"/>
          <w:sz w:val="24"/>
          <w:szCs w:val="24"/>
        </w:rPr>
        <w:t xml:space="preserve">На начальном этапе стресс-тестирования необходимо проверить достоверность и актуальность информации, на основе которой моделируется сценарий. При этом необходимо убедиться, что используемая отчетность соответствует критериям последовательности (непрерывный ряд отчетных данных) и сопоставимости (неизменность методики расчета показателей), а также убедиться в достоверности, объективности и целесообразности источников другой используемой информации (например, информации из СМИ).</w:t>
      </w:r>
    </w:p>
    <w:p>
      <w:pPr>
        <w:spacing w:after="60"/>
        <w:ind w:firstLine="567"/>
        <w:jc w:val="both"/>
      </w:pPr>
      <w:r>
        <w:rPr>
          <w:rFonts w:ascii="Arial" w:cs="Arial" w:eastAsia="Arial" w:hAnsi="Arial"/>
          <w:sz w:val="24"/>
          <w:szCs w:val="24"/>
        </w:rPr>
        <w:t xml:space="preserve">Сценарий развития неблагоприятного события должен быть достаточно реальным, уместным и обоснованным. Реальность сценария означает, что он должен иметь высокую долю вероятности наступления такого события.</w:t>
      </w:r>
    </w:p>
    <w:p>
      <w:pPr>
        <w:spacing w:after="60"/>
        <w:ind w:firstLine="567"/>
        <w:jc w:val="both"/>
      </w:pPr>
      <w:r>
        <w:rPr>
          <w:rFonts w:ascii="Arial" w:cs="Arial" w:eastAsia="Arial" w:hAnsi="Arial"/>
          <w:sz w:val="24"/>
          <w:szCs w:val="24"/>
        </w:rPr>
        <w:t xml:space="preserve">Моделирование сценария может включать изменение как внутренних, так и внешних факторов и проводиться в двух версиях:</w:t>
      </w:r>
    </w:p>
    <w:p>
      <w:pPr>
        <w:spacing w:after="60"/>
        <w:ind w:firstLine="567"/>
        <w:jc w:val="both"/>
      </w:pPr>
      <w:r>
        <w:rPr>
          <w:rFonts w:ascii="Arial" w:cs="Arial" w:eastAsia="Arial" w:hAnsi="Arial"/>
          <w:sz w:val="24"/>
          <w:szCs w:val="24"/>
        </w:rPr>
        <w:t xml:space="preserve">- исторический сценарий - сценарий стресс-теста основывается на наблюдениях последствий события, произошедшего в прошлом;</w:t>
      </w:r>
    </w:p>
    <w:p>
      <w:pPr>
        <w:spacing w:after="60"/>
        <w:ind w:firstLine="567"/>
        <w:jc w:val="both"/>
      </w:pPr>
      <w:r>
        <w:rPr>
          <w:rFonts w:ascii="Arial" w:cs="Arial" w:eastAsia="Arial" w:hAnsi="Arial"/>
          <w:sz w:val="24"/>
          <w:szCs w:val="24"/>
        </w:rPr>
        <w:t xml:space="preserve">- гипотетический сценарий - сценарий стресс-теста основывается на вероятном событии, которое еще не произошло.</w:t>
      </w:r>
    </w:p>
    <w:p>
      <w:pPr>
        <w:spacing w:after="60"/>
        <w:ind w:firstLine="567"/>
        <w:jc w:val="both"/>
      </w:pPr>
      <w:r>
        <w:rPr>
          <w:rFonts w:ascii="Arial" w:cs="Arial" w:eastAsia="Arial" w:hAnsi="Arial"/>
          <w:sz w:val="24"/>
          <w:szCs w:val="24"/>
        </w:rPr>
        <w:t xml:space="preserve">При моделировании исторического сценария анализ проводится с учетом событий, имевших место в прошлом и вызвавших негативные изменения в финансовом состоянии банка.</w:t>
      </w:r>
    </w:p>
    <w:p>
      <w:pPr>
        <w:spacing w:after="60"/>
        <w:ind w:firstLine="567"/>
        <w:jc w:val="both"/>
      </w:pPr>
      <w:r>
        <w:rPr>
          <w:rFonts w:ascii="Arial" w:cs="Arial" w:eastAsia="Arial" w:hAnsi="Arial"/>
          <w:sz w:val="24"/>
          <w:szCs w:val="24"/>
        </w:rPr>
        <w:t xml:space="preserve">При стресс-тестировании по методу исторического сценария особое внимание необходимо обратить на точное определение условий и обстоятельств прошлых кризисов, которые используются при тестировании баланса банка.</w:t>
      </w:r>
    </w:p>
    <w:p>
      <w:pPr>
        <w:spacing w:after="60"/>
        <w:ind w:firstLine="567"/>
        <w:jc w:val="both"/>
      </w:pPr>
      <w:r>
        <w:rPr>
          <w:rFonts w:ascii="Arial" w:cs="Arial" w:eastAsia="Arial" w:hAnsi="Arial"/>
          <w:sz w:val="24"/>
          <w:szCs w:val="24"/>
        </w:rPr>
        <w:t xml:space="preserve">Моделирование гипотетического сценария предполагает анализ ситуации, которая еще не произошла, но имеет высокую вероятность возникновения. Гипотеза может содержать как влияние определенного события на капитал банка (к примеру, при повышении или снижении текущего обменного курса), так и оценку максимального изменения показателей, которые могут привести к критическому значению капитала (как должен измениться обменный курс, чтобы капитал банка снизился до минимально допустимого уровня).</w:t>
      </w:r>
    </w:p>
    <w:p>
      <w:pPr>
        <w:spacing w:after="60"/>
        <w:ind w:firstLine="567"/>
        <w:jc w:val="both"/>
      </w:pPr>
      <w:r>
        <w:rPr>
          <w:rFonts w:ascii="Arial" w:cs="Arial" w:eastAsia="Arial" w:hAnsi="Arial"/>
          <w:sz w:val="24"/>
          <w:szCs w:val="24"/>
        </w:rPr>
        <w:t xml:space="preserve">При проведении стресс-тестирования необходимо провести несколько пробных расчетов. Сценарий стресс-теста будет считаться окончательным тогда, когда анализ, проводимый с помощью комбинации влияния различных рисков, покажет первые признаки неплатежеспособности для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8gztc3ajp2at2gqzb9zm">
      <w:r>
        <w:rPr>
          <w:rFonts w:ascii="Arial" w:cs="Arial" w:eastAsia="Arial" w:hAnsi="Arial"/>
          <w:color w:val="132D3F"/>
          <w:sz w:val="16"/>
          <w:szCs w:val="16"/>
          <w:u w:val="single"/>
        </w:rPr>
        <w:t xml:space="preserve">dalil.kg/document/800094</w:t>
      </w:r>
    </w:hyperlink>
  </w:p>
  <w:p>
    <w:pPr>
      <w:spacing w:after="0" w:before="40"/>
      <w:jc w:val="center"/>
    </w:pPr>
    <w:hyperlink w:history="1" r:id="rIdwocn2r8rhb6fip-bvq5d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xo8qr8mc4wsk4rfe5owa" Type="http://schemas.openxmlformats.org/officeDocument/2006/relationships/hyperlink" Target="https://dalil.kg/document/800094" TargetMode="External"/><Relationship Id="rIdz1m8z0shb8kjtctrggbr8" Type="http://schemas.openxmlformats.org/officeDocument/2006/relationships/hyperlink" Target="https://dalil.kg/document/800089" TargetMode="External"/><Relationship Id="rIdt5xsnagxa0gfy9d0qfvck" Type="http://schemas.openxmlformats.org/officeDocument/2006/relationships/hyperlink" Target="https://dalil.kg/document/800086" TargetMode="External"/><Relationship Id="rId4q-sgcbbs-pxqlfo-9hrc" Type="http://schemas.openxmlformats.org/officeDocument/2006/relationships/hyperlink" Target="https://dalil.kg/document/800089" TargetMode="External"/><Relationship Id="rIdfqakuzqtgdmut9komv7co" Type="http://schemas.openxmlformats.org/officeDocument/2006/relationships/hyperlink" Target="https://dalil.kg/document/800089" TargetMode="External"/><Relationship Id="rIdzetsjhhxoh1hx8p0pfaez" Type="http://schemas.openxmlformats.org/officeDocument/2006/relationships/hyperlink" Target="https://dalil.kg/document/800089" TargetMode="External"/><Relationship Id="rId2ik2uixxqdijuvv_yk6ok" Type="http://schemas.openxmlformats.org/officeDocument/2006/relationships/hyperlink" Target="https://dalil.kg/document/800086" TargetMode="External"/><Relationship Id="rIdllini-jihqwz8gesajplx" Type="http://schemas.openxmlformats.org/officeDocument/2006/relationships/hyperlink" Target="https://dalil.kg/document/800089" TargetMode="External"/><Relationship Id="rIdgo4ivycoz210eyfzzlw7k" Type="http://schemas.openxmlformats.org/officeDocument/2006/relationships/hyperlink" Target="https://dalil.kg/document/800086" TargetMode="External"/><Relationship Id="rId0imkjdtzdtconyuehdcua" Type="http://schemas.openxmlformats.org/officeDocument/2006/relationships/hyperlink" Target="https://dalil.kg/document/800086" TargetMode="External"/><Relationship Id="rIdig8dtlrx2sbxu9bxaikmn" Type="http://schemas.openxmlformats.org/officeDocument/2006/relationships/hyperlink" Target="https://dalil.kg/document/800093#p1" TargetMode="External"/><Relationship Id="rIdd02h92m1cd9293hmwum-f" Type="http://schemas.openxmlformats.org/officeDocument/2006/relationships/hyperlink" Target="https://dalil.kg/document/800086" TargetMode="External"/><Relationship Id="rIdh3sf1bdb2l5xhhv6txjny" Type="http://schemas.openxmlformats.org/officeDocument/2006/relationships/hyperlink" Target="https://dalil.kg/document/800089"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8gztc3ajp2at2gqzb9zm" Type="http://schemas.openxmlformats.org/officeDocument/2006/relationships/hyperlink" Target="https://dalil.kg/document/800094" TargetMode="External"/><Relationship Id="rIdwocn2r8rhb6fip-bvq5d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2026-09-25T08:14:30.569Z</dcterms:created>
  <dcterms:modified xsi:type="dcterms:W3CDTF">2026-09-25T08:14:30.569Z</dcterms:modified>
</cp:coreProperties>
</file>

<file path=docProps/custom.xml><?xml version="1.0" encoding="utf-8"?>
<Properties xmlns="http://schemas.openxmlformats.org/officeDocument/2006/custom-properties" xmlns:vt="http://schemas.openxmlformats.org/officeDocument/2006/docPropsVTypes"/>
</file>