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2018 года № 2018-П-12/33-6-(НПА)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1cpzlmkwzjkq3tgag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tkv6c19k-rs6gn6opj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2ltouxjpd6lpwhi_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vhswis5y46reoxw9u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5qq2y849lqoquvvcw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для коммерческих банков исполнение подпункта 6 пункта 4.3 </w:t>
      </w:r>
      <w:hyperlink w:history="1" r:id="rIdkanvcmuekzkpkzlwkj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до 30 июня 2019 года - степень кредитного риска 110%;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2019 до 31 декабря 2019 года - степень кредитного риска 130%;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2020 года - степень кредитного риска 150%.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для коммерческих банков исполнение подпункта 7 пункта 4.3 </w:t>
      </w:r>
      <w:hyperlink w:history="1" r:id="rIddwk8-ebeiefjwvdwc7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до 30 июня 2019 года - степень кредитного риска 130%;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2019 до 31 декабря 2019 года - степень кредитного риска 160%;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2020 года - степень кредитного риска 200%.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специализированной финансово-кредитной организации ОАО "Финансовая компания кредитных союзов",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августа 2018 года № 2018-П-12/33-6-(НПА)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lvmxrpsskol3ikqh0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bizznez6hmwe4skqq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_ioxlbgo_hdps3ojnd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вышеуказанным </w:t>
      </w:r>
      <w:hyperlink w:history="1" r:id="rId4okavzrsg3vaf98ew1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(индекс "буфер капитала") для выплаты дивидендов. Индекс "буфер капитала" определяется аналогично расчету коэффициента достаточности (адекватности) суммарного капитала. Значение индекса "буфер капитала" устанавливается в размере 18%. Для банков, доля депозитов и кредитов клиентов которых составляет соответственно 8% и более от общей суммы депозитов и кредитов клиентов банковской системы в целом, требование о необходимости поддержки индекса "буфер капитала" на уровне не менее 20% устанавливается Комитетом по надзору Национального банка, при этом учитываются нормы Положения "О критериях системности коммерческих банков и небанковских финансово-кредитных организаций".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включая депозиты органов власти,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Банк не имеет право принимать решение о выплате дивидендов в случае, если индекс "буфер капитала", рассчитанный с учетом вычета суммы дивидендов, планируемой к выплате, будет составлять значение ниже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выплаты дивидендов индекс "буфер капитала" должен составлять значение не ниже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соблюдения значения индекса "буфер капитала", рассчитанного с учетом вычета суммы дивидендов, планируемой к выплате, банк должен получить разрешение Национального банка на выплату, за исключением случаев, когда за счет нераспределенной прибыли банк увеличивает свой уставной капитал.";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тринадцатом и шестнадцатом подпункта в) пункта 3.7 слова "Управления внешнего надзора" заменить словами "уполномоченного структурного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В зависимости от степени кредитного риска, а также от типа отдельных партнеров/контрагентов балансовые активы делятся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Категория 1 (степень кредитного риска - 0%):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банкноты и монеты Кыргызской Республики, государств, являющихся членами ЕАЭС и ОЭСР 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 Перечень государств-членов ОЭСР размещен на официальном сайте www.oecd.org;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Национальному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Правительству Кыргызской Республики (ценные бумаги, выпущенные Правительством Кыргызской Республики и другие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центральным (национальным) банкам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правительствам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 (ценные бумаги, выпущенные правительствами);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активы (или их часть) с обеспечением, выраженным в национальной валюте Кыргызской Республики, и находящимся на отдельном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соответствии с </w:t>
      </w:r>
      <w:hyperlink w:history="1" r:id="rIdjfayw6jcmqwrqhaora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утвержденным </w:t>
      </w:r>
      <w:hyperlink w:history="1" r:id="rIdcpkcopnlmvmnz7hwor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18/3 от 21 июля 2004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активы (или их часть) с обеспечением, выраженным в валюте государств, являющихся членами ЕАЭС и ОЭСР, а также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 находящимся на отдельном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Категория 2 (степень кредитного риска - 10%):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активы (или их часть), обеспеченные ценными бумагами по текущей рыночной цене, которые выпущены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активы (или их часть), обеспеченные ценными бумагами по текущей рыночной цене, которые выпушены правительствами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3 (степень кредитного риска - 20%):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активы в расчетах с банками и другими финансово-кредитными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золото и другие сертифицированные драгоценные метилы в стандартных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Кыргызской Республики, и все активы, основанные на гарантиях данных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которые не являются аффилированными организациями по отношению к отчитывающемуся банку, и все активы, основанные на гарантиях данных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Категория 4 (степень кредитного риска - 50%):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кредиты физическим лицам для покупки или строительства жилья на одну семью и гарантированные первыми закладными по такому жилью. К этой категории относятся только такие ссуды, которые выданы лицам, намеревающимся жить в данном доме или квартире, т.е. данное жилье (или его часть) не будет использовано в других целях (продажа, аренда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данные кредиты просрочены свыше 30 дней и/или реструктуризированы, то они указываются в категории 5 со степенью кредитного риска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золото и другие сертифицированные драгоценные металлы в мерных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кредиты, выданные коммерческим банком по государственным программам, в том числе за счет собственных средств банков, связанным с финансированием сельского хозяйства и экспортно-ориентированных и импортозамещающих предприятий, а также другим государственным программам, направленным на оказание содействия развитию экономики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данные кредиты просрочены свыше 90 дней и/или повторно реструктуризированы, то они указываются в категории 5 со степенью кредитного риска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государственным программам относятся программы, финансируемые частично/полностью из республиканского бюджета или реализуемые через субсидирование процентных ставок из средств республиканского бюджета, включая финансирование, осуществляемое в сотрудничестве с организациями, созданными государством; программы в рамках реализации межгосударственных (межправительственных) проектов согласно международным договорам и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Категория 5 (степень кредитного риска - 100%):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банкноты и монеты, не вошедшие в категорию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правительствам и центральным банкам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не являющихся членами ОЭСР (ценные бумаги, выпущенные правительствами этих государств и другие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</w:t>
      </w:r>
      <w:r>
        <w:rPr>
          <w:rFonts w:ascii="Arial" w:cs="Arial" w:eastAsia="Arial" w:hAnsi="Arial"/>
          <w:sz w:val="24"/>
          <w:szCs w:val="24"/>
        </w:rPr>
        <w:t xml:space="preserve">Fitch Ratings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Dominion Bond Rating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)" и "</w:t>
      </w:r>
      <w:r>
        <w:rPr>
          <w:rFonts w:ascii="Arial" w:cs="Arial" w:eastAsia="Arial" w:hAnsi="Arial"/>
          <w:sz w:val="24"/>
          <w:szCs w:val="24"/>
        </w:rPr>
        <w:t xml:space="preserve">Moody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s Investors Service</w:t>
      </w:r>
      <w:r>
        <w:rPr>
          <w:rFonts w:ascii="Arial" w:cs="Arial" w:eastAsia="Arial" w:hAnsi="Arial"/>
          <w:sz w:val="24"/>
          <w:szCs w:val="24"/>
        </w:rPr>
        <w:t xml:space="preserve">" или не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которые являются аффилированными организациями по отношению к отчитывающемуся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не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коммерческие, потребительские, ипотечные и прочие кредиты, кроме указанных в категории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основные средства и прочая собственность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инвестиции и финансовое участие за минусом вычетов, предусмотренных подпунктом "б" пункта 3.9;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все прочие активы, не вошедшие в категории 1, 2, 3, 4, 6 и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Категория 6 (степень кредитного риска - 150%):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коммерческие, потребительские, ипотечные и прочие кредиты в иностранной валюте, за исключением кредитов в валюте государств-членов ЕАЭС, а также кроме указанных в категории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Категория 7 (степень кредитного риска - 200%):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физическим лицам и индивидуальным предпринимателям в национальной валюте с номинальной годовой ставкой 30% и более на момент выдачи кредитов.";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Банк обязан получить разрешение Национального банка на выплату дивидендов акционерам банка.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банка. К документам должны быть приложены планы банка по срокам выплаты дивидендов и расчеты по соблюдению экономических нормативов, а также индекса "буфер капитала", рассчитанного с учетом планируемой выплаты суммы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стабильности банка, а также интересам кредиторов и вкладчиков, Национальный банк может запретить либо установить ограничения на выплату дивидендов,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адекватности капитала банка будут ниже минимальных пределов,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индекс "буфер капитала", после выплаты дивидендов, будет ниже минимальных значений,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созданы или созданы в недостаточном размере резервы на покрытие потенциальных потерь и убытков,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банк имеет непокрытые убытки за предыдущие годы и/или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это приведет к ухудшению финансового состояния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других случаях, предусмотренных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 вправе принимать решение о выплате (объявлении) дивидендов по акциям,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 вправе принимать решение о выплате (объявлении) дивидендов по простым акциям, если не принято решение о выплате дивидендов по привилегированным акциям.";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9rh4nnuf1fzb23ecre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rjsqqkjmcswx72fzc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"/>
        <w:gridCol w:w="4283"/>
        <w:gridCol w:w="1246"/>
        <w:gridCol w:w="1769"/>
        <w:gridCol w:w="1946"/>
      </w:tblGrid>
      <w:tr>
        <w:tc>
          <w:tcPr>
            <w:tcW w:type="dxa" w:w="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 (продолжение)/прочие активы"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 (продолжение)/Прочие активы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585"/>
        <w:gridCol w:w="1221"/>
        <w:gridCol w:w="1705"/>
        <w:gridCol w:w="1870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капитальную аренду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"Капитал и коэффициенты адекватности капитала":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"890 Инвестиции в неконсолидированные банки, финансово-кредитные организации и небанковские финансово-кредитные организации (ст.200.1-230.1, ст.390, ст.400)";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"990 Собственный (регулятивный) капитал".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qdxnv_pq-u1loqood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b8jd73qksztpfddda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1dr4pcdqhyhxtlkj7kg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r8o-7fabzza_r57ey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15 "Расчет капитала банка":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подразделы 15.3. "Кредиты и лизинги" и 15.4. "Кредиты и лизинги (продолжение)/Прочие активы"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15.3
 КРЕДИТЫ И ЛИЗИНГИ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605"/>
        <w:gridCol w:w="1225"/>
        <w:gridCol w:w="1661"/>
        <w:gridCol w:w="1891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15.4
 КЕДИТЫ И ЛИЗИНГИ (продолжение)/ПРОЧИЕ АКТИВЫ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081"/>
        <w:gridCol w:w="1299"/>
        <w:gridCol w:w="1899"/>
        <w:gridCol w:w="2103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на капитальную аренду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4002"/>
        <w:gridCol w:w="1384"/>
        <w:gridCol w:w="1852"/>
        <w:gridCol w:w="2095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15.7 "Капитал и коэффициенты адекватности капитала" дополнить статьей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"990 Собственный (регулятивный) капитал".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7x45wxdys-c1gx2s0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dalil.kg/document/800211</w:t>
      </w:r>
    </w:hyperlink>
  </w:p>
  <w:p>
    <w:pPr>
      <w:spacing w:after="0" w:before="40"/>
      <w:jc w:val="center"/>
    </w:pPr>
    <w:hyperlink w:history="1" r:id="rIdkykks8ri4cshjnz0lo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cpzlmkwzjkq3tgagxcy" Type="http://schemas.openxmlformats.org/officeDocument/2006/relationships/hyperlink" Target="https://dalil.kg/document/111486" TargetMode="External"/><Relationship Id="rIdtkv6c19k-rs6gn6opjtjr" Type="http://schemas.openxmlformats.org/officeDocument/2006/relationships/hyperlink" Target="https://dalil.kg/document/800211#p1" TargetMode="External"/><Relationship Id="rId0j2ltouxjpd6lpwhi_bfw" Type="http://schemas.openxmlformats.org/officeDocument/2006/relationships/hyperlink" Target="https://dalil.kg/document/31369" TargetMode="External"/><Relationship Id="rIdyvhswis5y46reoxw9us2g" Type="http://schemas.openxmlformats.org/officeDocument/2006/relationships/hyperlink" Target="https://dalil.kg/document/31370" TargetMode="External"/><Relationship Id="rId65qq2y849lqoquvvcwuqu" Type="http://schemas.openxmlformats.org/officeDocument/2006/relationships/hyperlink" Target="https://dalil.kg/document/300273" TargetMode="External"/><Relationship Id="rIdkanvcmuekzkpkzlwkj3ul" Type="http://schemas.openxmlformats.org/officeDocument/2006/relationships/hyperlink" Target="https://dalil.kg/document/31370" TargetMode="External"/><Relationship Id="rIddwk8-ebeiefjwvdwc7m80" Type="http://schemas.openxmlformats.org/officeDocument/2006/relationships/hyperlink" Target="https://dalil.kg/document/31370" TargetMode="External"/><Relationship Id="rIdn5lvmxrpsskol3ikqh0h4" Type="http://schemas.openxmlformats.org/officeDocument/2006/relationships/hyperlink" Target="https://dalil.kg/document/31369" TargetMode="External"/><Relationship Id="rId1bizznez6hmwe4skqqat1" Type="http://schemas.openxmlformats.org/officeDocument/2006/relationships/hyperlink" Target="https://dalil.kg/document/31370" TargetMode="External"/><Relationship Id="rIdb_ioxlbgo_hdps3ojndpr" Type="http://schemas.openxmlformats.org/officeDocument/2006/relationships/hyperlink" Target="https://dalil.kg/document/31370" TargetMode="External"/><Relationship Id="rId4okavzrsg3vaf98ew102e" Type="http://schemas.openxmlformats.org/officeDocument/2006/relationships/hyperlink" Target="https://dalil.kg/document/31369" TargetMode="External"/><Relationship Id="rIdjfayw6jcmqwrqhaorafen" Type="http://schemas.openxmlformats.org/officeDocument/2006/relationships/hyperlink" Target="https://dalil.kg/document/31372" TargetMode="External"/><Relationship Id="rIdcpkcopnlmvmnz7hwor0zi" Type="http://schemas.openxmlformats.org/officeDocument/2006/relationships/hyperlink" Target="https://dalil.kg/document/31371" TargetMode="External"/><Relationship Id="rIdf9rh4nnuf1fzb23ecrecr" Type="http://schemas.openxmlformats.org/officeDocument/2006/relationships/hyperlink" Target="https://dalil.kg/document/31370#p5" TargetMode="External"/><Relationship Id="rIdhrjsqqkjmcswx72fzcs2b" Type="http://schemas.openxmlformats.org/officeDocument/2006/relationships/hyperlink" Target="https://dalil.kg/document/31370" TargetMode="External"/><Relationship Id="rId2qdxnv_pq-u1loqooduch" Type="http://schemas.openxmlformats.org/officeDocument/2006/relationships/hyperlink" Target="https://dalil.kg/document/300273" TargetMode="External"/><Relationship Id="rId2b8jd73qksztpfdddaviq" Type="http://schemas.openxmlformats.org/officeDocument/2006/relationships/hyperlink" Target="https://dalil.kg/document/300274" TargetMode="External"/><Relationship Id="rId1dr4pcdqhyhxtlkj7kgv8" Type="http://schemas.openxmlformats.org/officeDocument/2006/relationships/hyperlink" Target="https://dalil.kg/document/300273" TargetMode="External"/><Relationship Id="rId_r8o-7fabzza_r57ey6xg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7x45wxdys-c1gx2s0v6" Type="http://schemas.openxmlformats.org/officeDocument/2006/relationships/hyperlink" Target="https://dalil.kg/document/800211" TargetMode="External"/><Relationship Id="rIdkykks8ri4cshjnz0low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2026-09-24T06:23:44.728Z</dcterms:created>
  <dcterms:modified xsi:type="dcterms:W3CDTF">2026-09-24T06:23:44.728Z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