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17 октября 2018 года № 2018-П-12/43-2-(НПА)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dyhhiw_ffwlfczt3xtt_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8uio6rc4tevbsoacbiuwj">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"Об утверждении </w:t>
      </w:r>
      <w:hyperlink w:history="1" r:id="rId1m-ed9b74c0f11relixbb">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w:t>
      </w:r>
      <w:hyperlink w:history="1" r:id="rIdgcbgiuot2nojk9rb6venk">
        <w:r>
          <w:rPr>
            <w:rFonts w:ascii="Arial" w:cs="Arial" w:eastAsia="Arial" w:hAnsi="Arial"/>
            <w:color w:val="1D4ED8"/>
            <w:sz w:val="24"/>
            <w:szCs w:val="24"/>
            <w:u w:val="single"/>
          </w:rPr>
          <w:t xml:space="preserve">от 31 октября 2012 года № 41/12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h-xsdzgutozwgk8ctlwx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w:t>
      </w:r>
      <w:hyperlink w:history="1" r:id="rId6jnjcb16wqmb1rzfygjby">
        <w:r>
          <w:rPr>
            <w:rFonts w:ascii="Arial" w:cs="Arial" w:eastAsia="Arial" w:hAnsi="Arial"/>
            <w:color w:val="1D4ED8"/>
            <w:sz w:val="24"/>
            <w:szCs w:val="24"/>
            <w:u w:val="single"/>
          </w:rPr>
          <w:t xml:space="preserve">от 15 декабря 2005 года № 37/5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_yje81apdml4yub3q2ng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w:t>
      </w:r>
      <w:hyperlink w:history="1" r:id="rIdmtoahxrslyhblrbfznh6w">
        <w:r>
          <w:rPr>
            <w:rFonts w:ascii="Arial" w:cs="Arial" w:eastAsia="Arial" w:hAnsi="Arial"/>
            <w:color w:val="1D4ED8"/>
            <w:sz w:val="24"/>
            <w:szCs w:val="24"/>
            <w:u w:val="single"/>
          </w:rPr>
          <w:t xml:space="preserve">от 29 декабря 2004 года № 36/13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w:t>
      </w:r>
      <w:hyperlink w:history="1" r:id="rIdllu3behtdet_3yebgm2v0">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 к Комитету по аудиту" </w:t>
      </w:r>
      <w:hyperlink w:history="1" r:id="rIdwmrszaqh-0xgx6sci3vr_">
        <w:r>
          <w:rPr>
            <w:rFonts w:ascii="Arial" w:cs="Arial" w:eastAsia="Arial" w:hAnsi="Arial"/>
            <w:color w:val="1D4ED8"/>
            <w:sz w:val="24"/>
            <w:szCs w:val="24"/>
            <w:u w:val="single"/>
          </w:rPr>
          <w:t xml:space="preserve">от 20 ноября 2003 года № 32/7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pt7edkk7h-alnoalh8kg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w:t>
      </w:r>
      <w:r>
        <w:rPr>
          <w:rFonts w:ascii="Arial" w:cs="Arial" w:eastAsia="Arial" w:hAnsi="Arial"/>
          <w:sz w:val="24"/>
          <w:szCs w:val="24"/>
        </w:rPr>
        <w:t xml:space="preserve">от 15 июня 2017 года № </w:t>
      </w:r>
      <w:hyperlink w:history="1" r:id="rIdta1du4ykhzt1wr4fu4-jh">
        <w:r>
          <w:rPr>
            <w:rFonts w:ascii="Arial" w:cs="Arial" w:eastAsia="Arial" w:hAnsi="Arial"/>
            <w:color w:val="1D4ED8"/>
            <w:sz w:val="24"/>
            <w:szCs w:val="24"/>
            <w:u w:val="single"/>
          </w:rPr>
          <w:t xml:space="preserve">2017-П-12/25-8-(НПА)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fdiz83f61wf3sofdytyc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учете назначения платежей в банках" </w:t>
      </w:r>
      <w:hyperlink w:history="1" r:id="rIdix8rakz3fcsnq7j_bnjzw">
        <w:r>
          <w:rPr>
            <w:rFonts w:ascii="Arial" w:cs="Arial" w:eastAsia="Arial" w:hAnsi="Arial"/>
            <w:color w:val="1D4ED8"/>
            <w:sz w:val="24"/>
            <w:szCs w:val="24"/>
            <w:u w:val="single"/>
          </w:rPr>
          <w:t xml:space="preserve">от 25 ноября 2004 года № 30/5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klr-h7fhalpvc02utpzk9">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 бухгалтерского учета в коммерческих банках и других финансово-кредитных организациях Кыргызской Республики" </w:t>
      </w:r>
      <w:hyperlink w:history="1" r:id="rId9nadsvjdqtxy5jijagre8">
        <w:r>
          <w:rPr>
            <w:rFonts w:ascii="Arial" w:cs="Arial" w:eastAsia="Arial" w:hAnsi="Arial"/>
            <w:color w:val="1D4ED8"/>
            <w:sz w:val="24"/>
            <w:szCs w:val="24"/>
            <w:u w:val="single"/>
          </w:rPr>
          <w:t xml:space="preserve">от 30 мая 2007 года № 28/3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"Об утверждении </w:t>
      </w:r>
      <w:hyperlink w:history="1" r:id="rIdnih7xe5sjm3nkjmzwzhn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w:t>
      </w:r>
      <w:hyperlink w:history="1" r:id="rIdkrjokjvvveq6qty65metm">
        <w:r>
          <w:rPr>
            <w:rFonts w:ascii="Arial" w:cs="Arial" w:eastAsia="Arial" w:hAnsi="Arial"/>
            <w:color w:val="1D4ED8"/>
            <w:sz w:val="24"/>
            <w:szCs w:val="24"/>
            <w:u w:val="single"/>
          </w:rPr>
          <w:t xml:space="preserve">от 17 мая 2017 года № 19/13.</w:t>
        </w:r>
      </w:hyperlink>
    </w:p>
    <w:p>
      <w:pPr>
        <w:spacing w:after="60"/>
        <w:ind w:firstLine="567"/>
        <w:jc w:val="both"/>
      </w:pPr>
      <w:r>
        <w:rPr>
          <w:rFonts w:ascii="Arial" w:cs="Arial" w:eastAsia="Arial" w:hAnsi="Arial"/>
          <w:sz w:val="24"/>
          <w:szCs w:val="24"/>
        </w:rPr>
        <w:t xml:space="preserve">2.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микрофинансовых организаций, кредитных союзов, обменных бюро, кредитных бюро,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Джусупова Т.Дж.</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17 октября 2018 года № 2018-П-12/43-2-(НПА)</w:t>
      </w:r>
    </w:p>
    <w:p>
      <w:pPr>
        <w:spacing w:after="400" w:before="400"/>
        <w:jc w:val="center"/>
      </w:pPr>
      <w:r>
        <w:rPr>
          <w:rFonts w:ascii="Arial" w:cs="Arial" w:eastAsia="Arial" w:hAnsi="Arial"/>
          <w:b/>
          <w:bCs/>
          <w:sz w:val="24"/>
          <w:szCs w:val="24"/>
        </w:rPr>
        <w:t xml:space="preserve">ИЗМЕНЕНИЯ И ДОПОЛНЕНИЯ</w:t>
      </w:r>
      <w:r>
        <w:rPr>
          <w:rFonts w:ascii="Arial" w:cs="Arial" w:eastAsia="Arial" w:hAnsi="Arial"/>
          <w:sz w:val="24"/>
          <w:szCs w:val="24"/>
        </w:rPr>
        <w:t xml:space="preserve"> </w:t>
      </w:r>
      <w:r>
        <w:rPr>
          <w:rFonts w:ascii="Arial" w:cs="Arial" w:eastAsia="Arial" w:hAnsi="Arial"/>
          <w:b/>
          <w:bCs/>
          <w:sz w:val="24"/>
          <w:szCs w:val="24"/>
        </w:rPr>
        <w:t xml:space="preserve">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mtowrws7lbmsp78ziadh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_r6j2i3riisqg0r2r0rr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от 31 октября 2012 года № 41/12 следующие изменения и дополнения:</w:t>
      </w:r>
    </w:p>
    <w:p>
      <w:pPr>
        <w:spacing w:after="60"/>
        <w:ind w:firstLine="567"/>
        <w:jc w:val="both"/>
      </w:pPr>
      <w:r>
        <w:rPr>
          <w:rFonts w:ascii="Arial" w:cs="Arial" w:eastAsia="Arial" w:hAnsi="Arial"/>
          <w:sz w:val="24"/>
          <w:szCs w:val="24"/>
        </w:rPr>
        <w:t xml:space="preserve">в </w:t>
      </w:r>
      <w:hyperlink w:history="1" r:id="rIdryqm8y3qo1-xhjlrijxh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работе с банковскими счетами, счетами по банковским вкладам (депозитам), утвержденной вышеуказанным </w:t>
      </w:r>
      <w:hyperlink w:history="1" r:id="rIdeezegi9qauqlzg75vyfff">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13 изложить в следующей редакции:</w:t>
      </w:r>
    </w:p>
    <w:p>
      <w:pPr>
        <w:spacing w:after="60"/>
        <w:ind w:firstLine="567"/>
        <w:jc w:val="both"/>
      </w:pPr>
      <w:r>
        <w:rPr>
          <w:rFonts w:ascii="Arial" w:cs="Arial" w:eastAsia="Arial" w:hAnsi="Arial"/>
          <w:sz w:val="24"/>
          <w:szCs w:val="24"/>
        </w:rPr>
        <w:t xml:space="preserve">"13. Банковские счета предназначены для проведения платежей и расчетов с третьими лицами и подразделяются на:</w:t>
      </w:r>
    </w:p>
    <w:p>
      <w:pPr>
        <w:spacing w:after="60"/>
        <w:ind w:firstLine="567"/>
        <w:jc w:val="both"/>
      </w:pPr>
      <w:r>
        <w:rPr>
          <w:rFonts w:ascii="Arial" w:cs="Arial" w:eastAsia="Arial" w:hAnsi="Arial"/>
          <w:sz w:val="24"/>
          <w:szCs w:val="24"/>
        </w:rPr>
        <w:t xml:space="preserve">- корреспондентские счета;</w:t>
      </w:r>
    </w:p>
    <w:p>
      <w:pPr>
        <w:spacing w:after="60"/>
        <w:ind w:firstLine="567"/>
        <w:jc w:val="both"/>
      </w:pPr>
      <w:r>
        <w:rPr>
          <w:rFonts w:ascii="Arial" w:cs="Arial" w:eastAsia="Arial" w:hAnsi="Arial"/>
          <w:sz w:val="24"/>
          <w:szCs w:val="24"/>
        </w:rPr>
        <w:t xml:space="preserve">- расчетные (текущие) счета;</w:t>
      </w:r>
    </w:p>
    <w:p>
      <w:pPr>
        <w:spacing w:after="60"/>
        <w:ind w:firstLine="567"/>
        <w:jc w:val="both"/>
      </w:pPr>
      <w:r>
        <w:rPr>
          <w:rFonts w:ascii="Arial" w:cs="Arial" w:eastAsia="Arial" w:hAnsi="Arial"/>
          <w:sz w:val="24"/>
          <w:szCs w:val="24"/>
        </w:rPr>
        <w:t xml:space="preserve">- специальные счета;</w:t>
      </w:r>
    </w:p>
    <w:p>
      <w:pPr>
        <w:spacing w:after="60"/>
        <w:ind w:firstLine="567"/>
        <w:jc w:val="both"/>
      </w:pPr>
      <w:r>
        <w:rPr>
          <w:rFonts w:ascii="Arial" w:cs="Arial" w:eastAsia="Arial" w:hAnsi="Arial"/>
          <w:sz w:val="24"/>
          <w:szCs w:val="24"/>
        </w:rPr>
        <w:t xml:space="preserve">- счета по банковским вкладам (депозитам).";</w:t>
      </w:r>
    </w:p>
    <w:p>
      <w:pPr>
        <w:spacing w:after="60"/>
        <w:ind w:firstLine="567"/>
        <w:jc w:val="both"/>
      </w:pPr>
      <w:r>
        <w:rPr>
          <w:rFonts w:ascii="Arial" w:cs="Arial" w:eastAsia="Arial" w:hAnsi="Arial"/>
          <w:sz w:val="24"/>
          <w:szCs w:val="24"/>
        </w:rPr>
        <w:t xml:space="preserve">- в пункте 18:</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"В случаях, если сумма срочного банковского вклада (депозита) по истечении срока не востребована клиентом, договор считается продленным на условиях банковского вклада (депозита) до востребования, если иное не предусмотрено договором.";</w:t>
      </w:r>
    </w:p>
    <w:p>
      <w:pPr>
        <w:spacing w:after="60"/>
        <w:ind w:firstLine="567"/>
        <w:jc w:val="both"/>
      </w:pPr>
      <w:r>
        <w:rPr>
          <w:rFonts w:ascii="Arial" w:cs="Arial" w:eastAsia="Arial" w:hAnsi="Arial"/>
          <w:sz w:val="24"/>
          <w:szCs w:val="24"/>
        </w:rPr>
        <w:t xml:space="preserve">абзац седьмой изложить в следующей редакции:</w:t>
      </w:r>
    </w:p>
    <w:p>
      <w:pPr>
        <w:spacing w:after="60"/>
        <w:ind w:firstLine="567"/>
        <w:jc w:val="both"/>
      </w:pPr>
      <w:r>
        <w:rPr>
          <w:rFonts w:ascii="Arial" w:cs="Arial" w:eastAsia="Arial" w:hAnsi="Arial"/>
          <w:sz w:val="24"/>
          <w:szCs w:val="24"/>
        </w:rPr>
        <w:t xml:space="preserve">"Банк должен предоставить выписки по счетам вкладчика по его запросу не позднее трех рабочих дней с момента получения запроса.";</w:t>
      </w:r>
    </w:p>
    <w:p>
      <w:pPr>
        <w:spacing w:after="60"/>
        <w:ind w:firstLine="567"/>
        <w:jc w:val="both"/>
      </w:pPr>
      <w:r>
        <w:rPr>
          <w:rFonts w:ascii="Arial" w:cs="Arial" w:eastAsia="Arial" w:hAnsi="Arial"/>
          <w:sz w:val="24"/>
          <w:szCs w:val="24"/>
        </w:rPr>
        <w:t xml:space="preserve">- пункт 18-1 изложить в следующей редакции:</w:t>
      </w:r>
    </w:p>
    <w:p>
      <w:pPr>
        <w:spacing w:after="60"/>
        <w:ind w:firstLine="567"/>
        <w:jc w:val="both"/>
      </w:pPr>
      <w:r>
        <w:rPr>
          <w:rFonts w:ascii="Arial" w:cs="Arial" w:eastAsia="Arial" w:hAnsi="Arial"/>
          <w:sz w:val="24"/>
          <w:szCs w:val="24"/>
        </w:rPr>
        <w:t xml:space="preserve">"18-1. Банк и клиент могут заключить договор вклада на иных условиях возврата.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60"/>
        <w:ind w:firstLine="567"/>
        <w:jc w:val="both"/>
      </w:pPr>
      <w:r>
        <w:rPr>
          <w:rFonts w:ascii="Arial" w:cs="Arial" w:eastAsia="Arial" w:hAnsi="Arial"/>
          <w:sz w:val="24"/>
          <w:szCs w:val="24"/>
        </w:rPr>
        <w:t xml:space="preserve">Если сроки хранения вклада (депозита) на иных условиях возврата определены договором, то такой вклад (депозит) учитывается как срочный банковский вклад (депозит). В случае, если сроки хранения вклада (депозита) на иных условиях возврата договором не определены, то он учитывается как банковский вклад (депозит) до востребования.</w:t>
      </w:r>
    </w:p>
    <w:p>
      <w:pPr>
        <w:spacing w:after="60"/>
        <w:ind w:firstLine="567"/>
        <w:jc w:val="both"/>
      </w:pPr>
      <w:r>
        <w:rPr>
          <w:rFonts w:ascii="Arial" w:cs="Arial" w:eastAsia="Arial" w:hAnsi="Arial"/>
          <w:sz w:val="24"/>
          <w:szCs w:val="24"/>
        </w:rPr>
        <w:t xml:space="preserve">В случаях, когда клиент не требует возврата суммы вклада, внесенного на иных условиях возврата, при наступлении предусмотренных договором обстоятельств, договор считается продленным на условиях банковского вклада (депозита) до востребования, действующих на день окончания срока вклада, если иное не предусмотрено договором.</w:t>
      </w:r>
    </w:p>
    <w:p>
      <w:pPr>
        <w:spacing w:after="60"/>
        <w:ind w:firstLine="567"/>
        <w:jc w:val="both"/>
      </w:pPr>
      <w:r>
        <w:rPr>
          <w:rFonts w:ascii="Arial" w:cs="Arial" w:eastAsia="Arial" w:hAnsi="Arial"/>
          <w:sz w:val="24"/>
          <w:szCs w:val="24"/>
        </w:rPr>
        <w:t xml:space="preserve">В договоре вклада (депозита) на иных условиях возврата могут быть определены условия (например, болезнь, смерть, форс-мажор и др.), когда такой вклад (депозит) может быть возвращен до наступления определенного в договоре обстоятельства (события).";</w:t>
      </w:r>
    </w:p>
    <w:p>
      <w:pPr>
        <w:spacing w:after="60"/>
        <w:ind w:firstLine="567"/>
        <w:jc w:val="both"/>
      </w:pPr>
      <w:r>
        <w:rPr>
          <w:rFonts w:ascii="Arial" w:cs="Arial" w:eastAsia="Arial" w:hAnsi="Arial"/>
          <w:sz w:val="24"/>
          <w:szCs w:val="24"/>
        </w:rPr>
        <w:t xml:space="preserve">- в пункте 24:</w:t>
      </w:r>
    </w:p>
    <w:p>
      <w:pPr>
        <w:spacing w:after="60"/>
        <w:ind w:firstLine="567"/>
        <w:jc w:val="both"/>
      </w:pPr>
      <w:r>
        <w:rPr>
          <w:rFonts w:ascii="Arial" w:cs="Arial" w:eastAsia="Arial" w:hAnsi="Arial"/>
          <w:sz w:val="24"/>
          <w:szCs w:val="24"/>
        </w:rPr>
        <w:t xml:space="preserve">второе предложение абзаца первого изложить в следующей редакции:</w:t>
      </w:r>
    </w:p>
    <w:p>
      <w:pPr>
        <w:spacing w:after="60"/>
        <w:ind w:firstLine="567"/>
        <w:jc w:val="both"/>
      </w:pPr>
      <w:r>
        <w:rPr>
          <w:rFonts w:ascii="Arial" w:cs="Arial" w:eastAsia="Arial" w:hAnsi="Arial"/>
          <w:sz w:val="24"/>
          <w:szCs w:val="24"/>
        </w:rPr>
        <w:t xml:space="preserve">"Договор банковского счета считается заключенным с момента подписания, а договор банковского вклада (депозита) - со дня поступления суммы банковского вклада (депозита) в банк на счет банковского вклада (депозита).";</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"Договором банковского счета может быть предусмотрено удостоверение прав по распоряжению денежными средствами, находящимися на счете, электронными средствами связи и другими документами с использованием в них аналогов собственноручной подписи, электронной подписи, факсимильной подписи (факсимиле) в соответствии с </w:t>
      </w:r>
      <w:hyperlink w:history="1" r:id="rId30nstgvwcnehfe39yz02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кодов, паролей и иных средств, подтверждающих, что распоряжение дано уполномоченным на это лицом.";</w:t>
      </w:r>
    </w:p>
    <w:p>
      <w:pPr>
        <w:spacing w:after="60"/>
        <w:ind w:firstLine="567"/>
        <w:jc w:val="both"/>
      </w:pPr>
      <w:r>
        <w:rPr>
          <w:rFonts w:ascii="Arial" w:cs="Arial" w:eastAsia="Arial" w:hAnsi="Arial"/>
          <w:sz w:val="24"/>
          <w:szCs w:val="24"/>
        </w:rPr>
        <w:t xml:space="preserve">- в первом предложении пункта 31 слова "банковских" и "юридическими лицами" исключить;</w:t>
      </w:r>
    </w:p>
    <w:p>
      <w:pPr>
        <w:spacing w:after="60"/>
        <w:ind w:firstLine="567"/>
        <w:jc w:val="both"/>
      </w:pPr>
      <w:r>
        <w:rPr>
          <w:rFonts w:ascii="Arial" w:cs="Arial" w:eastAsia="Arial" w:hAnsi="Arial"/>
          <w:sz w:val="24"/>
          <w:szCs w:val="24"/>
        </w:rPr>
        <w:t xml:space="preserve">- подпункт 4 пункта 43 изложить в следующей редакции:</w:t>
      </w:r>
    </w:p>
    <w:p>
      <w:pPr>
        <w:spacing w:after="60"/>
        <w:ind w:firstLine="567"/>
        <w:jc w:val="both"/>
      </w:pPr>
      <w:r>
        <w:rPr>
          <w:rFonts w:ascii="Arial" w:cs="Arial" w:eastAsia="Arial" w:hAnsi="Arial"/>
          <w:sz w:val="24"/>
          <w:szCs w:val="24"/>
        </w:rPr>
        <w:t xml:space="preserve">"4) копию учредительных документов в зависимости от организационной правовой формы организации, с изменениями и дополнениями, заверенную печатью юридического лица и подписью руководителя;";</w:t>
      </w:r>
    </w:p>
    <w:p>
      <w:pPr>
        <w:spacing w:after="60"/>
        <w:ind w:firstLine="567"/>
        <w:jc w:val="both"/>
      </w:pPr>
      <w:r>
        <w:rPr>
          <w:rFonts w:ascii="Arial" w:cs="Arial" w:eastAsia="Arial" w:hAnsi="Arial"/>
          <w:sz w:val="24"/>
          <w:szCs w:val="24"/>
        </w:rPr>
        <w:t xml:space="preserve">- первое предложение абзаца третьего пункта 52 изложить в следующей редакции:</w:t>
      </w:r>
    </w:p>
    <w:p>
      <w:pPr>
        <w:spacing w:after="60"/>
        <w:ind w:firstLine="567"/>
        <w:jc w:val="both"/>
      </w:pPr>
      <w:r>
        <w:rPr>
          <w:rFonts w:ascii="Arial" w:cs="Arial" w:eastAsia="Arial" w:hAnsi="Arial"/>
          <w:sz w:val="24"/>
          <w:szCs w:val="24"/>
        </w:rPr>
        <w:t xml:space="preserve">"Банк извещает клиента по последнему известному адресу и/или посредством телефонного/электронного сообщения на мобильный номер/электронную почту клиента о необходимости получения остатка денежных средств, а в случае отсутствия клиента и/или отсутствия подтверждения о получении мобильного/электронного сообщения, остаток денежных средств хранится на системном учете (на балансе) банка.";</w:t>
      </w:r>
    </w:p>
    <w:p>
      <w:pPr>
        <w:spacing w:after="60"/>
        <w:ind w:firstLine="567"/>
        <w:jc w:val="both"/>
      </w:pPr>
      <w:r>
        <w:rPr>
          <w:rFonts w:ascii="Arial" w:cs="Arial" w:eastAsia="Arial" w:hAnsi="Arial"/>
          <w:sz w:val="24"/>
          <w:szCs w:val="24"/>
        </w:rPr>
        <w:t xml:space="preserve">- в </w:t>
      </w:r>
      <w:hyperlink w:history="1" r:id="rId4-a81ot35k5nshnxzth_g">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Инструкции по работе с банковскими счетами, счетами по банковским вкладам (депозитам):</w:t>
      </w:r>
    </w:p>
    <w:p>
      <w:pPr>
        <w:spacing w:after="60"/>
        <w:ind w:firstLine="567"/>
        <w:jc w:val="both"/>
      </w:pPr>
      <w:r>
        <w:rPr>
          <w:rFonts w:ascii="Arial" w:cs="Arial" w:eastAsia="Arial" w:hAnsi="Arial"/>
          <w:sz w:val="24"/>
          <w:szCs w:val="24"/>
        </w:rPr>
        <w:t xml:space="preserve">пункт 4 дополнить абзацами четвертым, пятым и шестым следующего содержания:</w:t>
      </w:r>
    </w:p>
    <w:p>
      <w:pPr>
        <w:spacing w:after="60"/>
        <w:ind w:firstLine="567"/>
        <w:jc w:val="both"/>
      </w:pPr>
      <w:r>
        <w:rPr>
          <w:rFonts w:ascii="Arial" w:cs="Arial" w:eastAsia="Arial" w:hAnsi="Arial"/>
          <w:sz w:val="24"/>
          <w:szCs w:val="24"/>
        </w:rPr>
        <w:t xml:space="preserve">"Проведение операций банком, связанных с переводом/снятием денежных средств со счета клиента, должно совершаться в присутствии самого клиента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исполнения распоряжения по счету (если вкладчик - физическое или юридическое лицо). Данное требование не распространяется на операции, проводимые с удаленного доступа без непосредственного контакта.</w:t>
      </w:r>
    </w:p>
    <w:p>
      <w:pPr>
        <w:spacing w:after="60"/>
        <w:ind w:firstLine="567"/>
        <w:jc w:val="both"/>
      </w:pPr>
      <w:r>
        <w:rPr>
          <w:rFonts w:ascii="Arial" w:cs="Arial" w:eastAsia="Arial" w:hAnsi="Arial"/>
          <w:sz w:val="24"/>
          <w:szCs w:val="24"/>
        </w:rPr>
        <w:t xml:space="preserve">В случае, если клиент заранее представил в банк платежное поручение, которое было зарегистрировано в установленном порядке в день обращения, с указанием определенной даты перевода денежных средств, то в день перевода присутствие клиента необязательно.</w:t>
      </w:r>
    </w:p>
    <w:p>
      <w:pPr>
        <w:spacing w:after="60"/>
        <w:ind w:firstLine="567"/>
        <w:jc w:val="both"/>
      </w:pPr>
      <w:r>
        <w:rPr>
          <w:rFonts w:ascii="Arial" w:cs="Arial" w:eastAsia="Arial" w:hAnsi="Arial"/>
          <w:sz w:val="24"/>
          <w:szCs w:val="24"/>
        </w:rPr>
        <w:t xml:space="preserve">При этом банк должен предпринять необходимые меры в целях минимизации операционных рисков банка, в том числе связанных с мошенничеством.";</w:t>
      </w:r>
    </w:p>
    <w:p>
      <w:pPr>
        <w:spacing w:after="60"/>
        <w:ind w:firstLine="567"/>
        <w:jc w:val="both"/>
      </w:pPr>
      <w:r>
        <w:rPr>
          <w:rFonts w:ascii="Arial" w:cs="Arial" w:eastAsia="Arial" w:hAnsi="Arial"/>
          <w:sz w:val="24"/>
          <w:szCs w:val="24"/>
        </w:rPr>
        <w:t xml:space="preserve">в абзаце четвертом подпункта 1 пункта 5 цифру "18" заменить цифрой "16";</w:t>
      </w:r>
    </w:p>
    <w:p>
      <w:pPr>
        <w:spacing w:after="60"/>
        <w:ind w:firstLine="567"/>
        <w:jc w:val="both"/>
      </w:pPr>
      <w:r>
        <w:rPr>
          <w:rFonts w:ascii="Arial" w:cs="Arial" w:eastAsia="Arial" w:hAnsi="Arial"/>
          <w:sz w:val="24"/>
          <w:szCs w:val="24"/>
        </w:rPr>
        <w:t xml:space="preserve">- пункт 6-1 </w:t>
      </w:r>
      <w:hyperlink w:history="1" r:id="rIdinrvctjiwixclq2xeqnji">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к Инструкции по работе с банковскими счетами, счетами по банковским вкладам (депозитам) изложить в следующей редакции:</w:t>
      </w:r>
    </w:p>
    <w:p>
      <w:pPr>
        <w:spacing w:after="60"/>
        <w:ind w:firstLine="567"/>
        <w:jc w:val="both"/>
      </w:pPr>
      <w:r>
        <w:rPr>
          <w:rFonts w:ascii="Arial" w:cs="Arial" w:eastAsia="Arial" w:hAnsi="Arial"/>
          <w:sz w:val="24"/>
          <w:szCs w:val="24"/>
        </w:rPr>
        <w:t xml:space="preserve">"6-1. Пункт 5 не распространяется на счета в иностранной валюте, открываемые для банков-резидентов, созданных в результате перерегистрации микрофинансовых компаний в банк, в целях обеспечения осуществления основной деятельности. Данные счета могут действовать до момента открытия банком-резидентом, созданным в результате перерегистрации микрофинансовых компаний в банк, корреспондентского счета в банке-нерезиденте, но не более шести месяцев с момента получения банковской лицензии.".</w:t>
      </w:r>
    </w:p>
    <w:p>
      <w:pPr>
        <w:spacing w:after="60"/>
        <w:ind w:firstLine="567"/>
        <w:jc w:val="both"/>
      </w:pPr>
      <w:r>
        <w:rPr>
          <w:rFonts w:ascii="Arial" w:cs="Arial" w:eastAsia="Arial" w:hAnsi="Arial"/>
          <w:sz w:val="24"/>
          <w:szCs w:val="24"/>
        </w:rPr>
        <w:t xml:space="preserve">2. Внести в </w:t>
      </w:r>
      <w:hyperlink w:history="1" r:id="rId0dz2xr5ngw3wt6qv0qb4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0g4mbs6gs0audqyjbmbf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от 15 декабря 2005 года № 37/5 следующее изменение:</w:t>
      </w:r>
    </w:p>
    <w:p>
      <w:pPr>
        <w:spacing w:after="60"/>
        <w:ind w:firstLine="567"/>
        <w:jc w:val="both"/>
      </w:pPr>
      <w:r>
        <w:rPr>
          <w:rFonts w:ascii="Arial" w:cs="Arial" w:eastAsia="Arial" w:hAnsi="Arial"/>
          <w:sz w:val="24"/>
          <w:szCs w:val="24"/>
        </w:rPr>
        <w:t xml:space="preserve">в </w:t>
      </w:r>
      <w:hyperlink w:history="1" r:id="rIdvxbpvecoyxxswjxn348ha">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операционным риском в коммерческих банках Кыргызской Республики", утвержденном вышеуказанным </w:t>
      </w:r>
      <w:hyperlink w:history="1" r:id="rIduhzqvghq_jtrkhyjtr1u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первое предложение абзаца третьего пункта 3.1.7-1 изложить в следующей редакции:</w:t>
      </w:r>
    </w:p>
    <w:p>
      <w:pPr>
        <w:spacing w:after="60"/>
        <w:ind w:firstLine="567"/>
        <w:jc w:val="both"/>
      </w:pPr>
      <w:r>
        <w:rPr>
          <w:rFonts w:ascii="Arial" w:cs="Arial" w:eastAsia="Arial" w:hAnsi="Arial"/>
          <w:sz w:val="24"/>
          <w:szCs w:val="24"/>
        </w:rPr>
        <w:t xml:space="preserve">"- возможность доступа банка к финансовой отчетности поставщика услуг, в том числе в случаях, когда финансовое состояние поставщика услуг может повлиять на исполнение им обязательств по договору аутсорсинга и иной информации, имеющей отношение к объекту аутсорсинга.".</w:t>
      </w:r>
    </w:p>
    <w:p>
      <w:pPr>
        <w:spacing w:after="60"/>
        <w:ind w:firstLine="567"/>
        <w:jc w:val="both"/>
      </w:pPr>
      <w:r>
        <w:rPr>
          <w:rFonts w:ascii="Arial" w:cs="Arial" w:eastAsia="Arial" w:hAnsi="Arial"/>
          <w:sz w:val="24"/>
          <w:szCs w:val="24"/>
        </w:rPr>
        <w:t xml:space="preserve">3. Внести в </w:t>
      </w:r>
      <w:hyperlink w:history="1" r:id="rId0bo_n7b6r1uy0htlfktz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qutoz1fkqshonnk7qyg4">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от 29 декабря 2004 года № 36/13 следующее изменение:</w:t>
      </w:r>
    </w:p>
    <w:p>
      <w:pPr>
        <w:spacing w:after="60"/>
        <w:ind w:firstLine="567"/>
        <w:jc w:val="both"/>
      </w:pPr>
      <w:r>
        <w:rPr>
          <w:rFonts w:ascii="Arial" w:cs="Arial" w:eastAsia="Arial" w:hAnsi="Arial"/>
          <w:sz w:val="24"/>
          <w:szCs w:val="24"/>
        </w:rPr>
        <w:t xml:space="preserve">в </w:t>
      </w:r>
      <w:hyperlink w:history="1" r:id="rIddyyuvigkn_mmauxwjg5f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утвержденной вышеуказанным </w:t>
      </w:r>
      <w:hyperlink w:history="1" r:id="rIdoq2dvvbneuyki7ozrmglt">
        <w:r>
          <w:rPr>
            <w:rFonts w:ascii="Arial" w:cs="Arial" w:eastAsia="Arial" w:hAnsi="Arial"/>
            <w:color w:val="1D4ED8"/>
            <w:sz w:val="24"/>
            <w:szCs w:val="24"/>
            <w:u w:val="single"/>
          </w:rPr>
          <w:t xml:space="preserve">постановлением:</w:t>
        </w:r>
      </w:hyperlink>
    </w:p>
    <w:p>
      <w:pPr>
        <w:spacing w:after="60"/>
        <w:ind w:firstLine="567"/>
        <w:jc w:val="both"/>
      </w:pPr>
      <w:r>
        <w:rPr>
          <w:rFonts w:ascii="Arial" w:cs="Arial" w:eastAsia="Arial" w:hAnsi="Arial"/>
          <w:sz w:val="24"/>
          <w:szCs w:val="24"/>
        </w:rPr>
        <w:t xml:space="preserve">- пункт 5.1 изложить в следующей редакции:</w:t>
      </w:r>
    </w:p>
    <w:p>
      <w:pPr>
        <w:spacing w:after="60"/>
        <w:ind w:firstLine="567"/>
        <w:jc w:val="both"/>
      </w:pPr>
      <w:r>
        <w:rPr>
          <w:rFonts w:ascii="Arial" w:cs="Arial" w:eastAsia="Arial" w:hAnsi="Arial"/>
          <w:sz w:val="24"/>
          <w:szCs w:val="24"/>
        </w:rPr>
        <w:t xml:space="preserve">"5.1. В случае нарушения банком по состоянию на конец каждого операционного дня установленных лимитов открытой позиции, Национальный банк применяет меры воздействия в виде взыскания штрафа в размере 5% от суммы нарушения, но не более 10% от норматива минимального размера уставного капитала банка.".</w:t>
      </w:r>
    </w:p>
    <w:p>
      <w:pPr>
        <w:spacing w:after="60"/>
        <w:ind w:firstLine="567"/>
        <w:jc w:val="both"/>
      </w:pPr>
      <w:r>
        <w:rPr>
          <w:rFonts w:ascii="Arial" w:cs="Arial" w:eastAsia="Arial" w:hAnsi="Arial"/>
          <w:sz w:val="24"/>
          <w:szCs w:val="24"/>
        </w:rPr>
        <w:t xml:space="preserve">4. Внести в </w:t>
      </w:r>
      <w:hyperlink w:history="1" r:id="rIdi7edb3hehkv6wzvg0qbh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w:t>
      </w:r>
      <w:hyperlink w:history="1" r:id="rIdzqj5l3moqwm3arebx0zdl">
        <w:r>
          <w:rPr>
            <w:rFonts w:ascii="Arial" w:cs="Arial" w:eastAsia="Arial" w:hAnsi="Arial"/>
            <w:color w:val="1D4ED8"/>
            <w:sz w:val="24"/>
            <w:szCs w:val="24"/>
            <w:u w:val="single"/>
          </w:rPr>
          <w:t xml:space="preserve">Об основных требованиях</w:t>
        </w:r>
      </w:hyperlink>
      <w:r>
        <w:rPr>
          <w:rFonts w:ascii="Arial" w:cs="Arial" w:eastAsia="Arial" w:hAnsi="Arial"/>
          <w:sz w:val="24"/>
          <w:szCs w:val="24"/>
        </w:rPr>
        <w:t xml:space="preserve"> к Комитету по аудиту" от 20 ноября 2003 года № 32/7 следующее изменение:</w:t>
      </w:r>
    </w:p>
    <w:p>
      <w:pPr>
        <w:spacing w:after="60"/>
        <w:ind w:firstLine="567"/>
        <w:jc w:val="both"/>
      </w:pPr>
      <w:r>
        <w:rPr>
          <w:rFonts w:ascii="Arial" w:cs="Arial" w:eastAsia="Arial" w:hAnsi="Arial"/>
          <w:sz w:val="24"/>
          <w:szCs w:val="24"/>
        </w:rPr>
        <w:t xml:space="preserve">в </w:t>
      </w:r>
      <w:hyperlink w:history="1" r:id="rIdwmhjmskq2aimdi9c-n6eo">
        <w:r>
          <w:rPr>
            <w:rFonts w:ascii="Arial" w:cs="Arial" w:eastAsia="Arial" w:hAnsi="Arial"/>
            <w:color w:val="1D4ED8"/>
            <w:sz w:val="24"/>
            <w:szCs w:val="24"/>
            <w:u w:val="single"/>
          </w:rPr>
          <w:t xml:space="preserve">Основных требованиях</w:t>
        </w:r>
      </w:hyperlink>
      <w:r>
        <w:rPr>
          <w:rFonts w:ascii="Arial" w:cs="Arial" w:eastAsia="Arial" w:hAnsi="Arial"/>
          <w:sz w:val="24"/>
          <w:szCs w:val="24"/>
        </w:rPr>
        <w:t xml:space="preserve">к Комитету по аудиту, утвержденных вышеуказанным </w:t>
      </w:r>
      <w:hyperlink w:history="1" r:id="rIdy-tjvc6ykayzmwjuu46x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3.1 изложить в следующей редакции:</w:t>
      </w:r>
    </w:p>
    <w:p>
      <w:pPr>
        <w:spacing w:after="60"/>
        <w:ind w:firstLine="567"/>
        <w:jc w:val="both"/>
      </w:pPr>
      <w:r>
        <w:rPr>
          <w:rFonts w:ascii="Arial" w:cs="Arial" w:eastAsia="Arial" w:hAnsi="Arial"/>
          <w:sz w:val="24"/>
          <w:szCs w:val="24"/>
        </w:rPr>
        <w:t xml:space="preserve">"3.1. Комитет создается Советом директоров и должен состоять как минимум из трех членов Совета Директоров банка. Два из трех членов Совета Директоров должны быть независимыми членами Совета директоров, соответствующими критериям, установленным законодательством Кыргызской Республики. При этом Председателем Комитета по аудиту в обязательном порядке должен быть один из независимых членов Совета Директоров банка, который не возглавляет Комитет по рискам.".</w:t>
      </w:r>
    </w:p>
    <w:p>
      <w:pPr>
        <w:spacing w:after="60"/>
        <w:ind w:firstLine="567"/>
        <w:jc w:val="both"/>
      </w:pPr>
      <w:r>
        <w:rPr>
          <w:rFonts w:ascii="Arial" w:cs="Arial" w:eastAsia="Arial" w:hAnsi="Arial"/>
          <w:sz w:val="24"/>
          <w:szCs w:val="24"/>
        </w:rPr>
        <w:t xml:space="preserve">5. Внести в </w:t>
      </w:r>
      <w:hyperlink w:history="1" r:id="rIdol8dcasd6onf4rx_kqqy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nuxr2zjio8zk_bijve7ys">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рисками в банках Кыргызской Республики" от 15 июня 2017 года № 2017-П-12/25-8-(НПА) следующее изменение:</w:t>
      </w:r>
    </w:p>
    <w:p>
      <w:pPr>
        <w:spacing w:after="60"/>
        <w:ind w:firstLine="567"/>
        <w:jc w:val="both"/>
      </w:pPr>
      <w:r>
        <w:rPr>
          <w:rFonts w:ascii="Arial" w:cs="Arial" w:eastAsia="Arial" w:hAnsi="Arial"/>
          <w:sz w:val="24"/>
          <w:szCs w:val="24"/>
        </w:rPr>
        <w:t xml:space="preserve">в </w:t>
      </w:r>
      <w:hyperlink w:history="1" r:id="rIdvrrtlsxeeq7s8spsj-xq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рисками в банках Кыргызской Республики", утвержденном вышеуказанным </w:t>
      </w:r>
      <w:hyperlink w:history="1" r:id="rIdg3nea3mt8pwk0xjcse9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19 изложить в следующей редакции:</w:t>
      </w:r>
    </w:p>
    <w:p>
      <w:pPr>
        <w:spacing w:after="60"/>
        <w:ind w:firstLine="567"/>
        <w:jc w:val="both"/>
      </w:pPr>
      <w:r>
        <w:rPr>
          <w:rFonts w:ascii="Arial" w:cs="Arial" w:eastAsia="Arial" w:hAnsi="Arial"/>
          <w:sz w:val="24"/>
          <w:szCs w:val="24"/>
        </w:rPr>
        <w:t xml:space="preserve">"19. Члены Комитета по рискам и Председатель Комитета по рискам утверждаются Советом директоров, при этом в качестве членов Совета директоров банка избираются собранием акционеров.".</w:t>
      </w:r>
    </w:p>
    <w:p>
      <w:pPr>
        <w:spacing w:after="60"/>
        <w:ind w:firstLine="567"/>
        <w:jc w:val="both"/>
      </w:pPr>
      <w:r>
        <w:rPr>
          <w:rFonts w:ascii="Arial" w:cs="Arial" w:eastAsia="Arial" w:hAnsi="Arial"/>
          <w:sz w:val="24"/>
          <w:szCs w:val="24"/>
        </w:rPr>
        <w:t xml:space="preserve">6. Внести в </w:t>
      </w:r>
      <w:hyperlink w:history="1" r:id="rIdl74xw_9yugpipflw2cwc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cpitxtb4szruys0njxcs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учете назначения платежей в банках" от 25 ноября 2004 года № 30/5 следующее изменение:</w:t>
      </w:r>
    </w:p>
    <w:p>
      <w:pPr>
        <w:spacing w:after="60"/>
        <w:ind w:firstLine="567"/>
        <w:jc w:val="both"/>
      </w:pPr>
      <w:r>
        <w:rPr>
          <w:rFonts w:ascii="Arial" w:cs="Arial" w:eastAsia="Arial" w:hAnsi="Arial"/>
          <w:sz w:val="24"/>
          <w:szCs w:val="24"/>
        </w:rPr>
        <w:t xml:space="preserve">в </w:t>
      </w:r>
      <w:hyperlink w:history="1" r:id="rId_pwtipjm6-x5x4k5lecl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учете назначения платежей в банках, утвержденной вышеуказанным </w:t>
      </w:r>
      <w:hyperlink w:history="1" r:id="rIdbkcz9phnxeuwgm4tnfza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первый пункта 1.1 изложить в следующей редакции:</w:t>
      </w:r>
    </w:p>
    <w:p>
      <w:pPr>
        <w:spacing w:after="60"/>
        <w:ind w:firstLine="567"/>
        <w:jc w:val="both"/>
      </w:pPr>
      <w:r>
        <w:rPr>
          <w:rFonts w:ascii="Arial" w:cs="Arial" w:eastAsia="Arial" w:hAnsi="Arial"/>
          <w:sz w:val="24"/>
          <w:szCs w:val="24"/>
        </w:rPr>
        <w:t xml:space="preserve">"</w:t>
      </w:r>
      <w:hyperlink w:history="1" r:id="rIdyxmc5ytzvnz115-yp4evo">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об учете назначения платежей в банках (далее - Инструкция) устанавливает требования по сбору и учету информации по назначениям платежей Национальным банком Кыргызской Республики (далее - Национальный банк) в целях составления статистики платежного баланса Кыргызской Республики.".</w:t>
      </w:r>
    </w:p>
    <w:p>
      <w:pPr>
        <w:spacing w:after="60"/>
        <w:ind w:firstLine="567"/>
        <w:jc w:val="both"/>
      </w:pPr>
      <w:r>
        <w:rPr>
          <w:rFonts w:ascii="Arial" w:cs="Arial" w:eastAsia="Arial" w:hAnsi="Arial"/>
          <w:sz w:val="24"/>
          <w:szCs w:val="24"/>
        </w:rPr>
        <w:t xml:space="preserve">7. Внести в </w:t>
      </w:r>
      <w:hyperlink w:history="1" r:id="rIdubd9lr6gbdqlx84dv-n4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o1spe02v5aofdyoj1hhy">
        <w:r>
          <w:rPr>
            <w:rFonts w:ascii="Arial" w:cs="Arial" w:eastAsia="Arial" w:hAnsi="Arial"/>
            <w:color w:val="1D4ED8"/>
            <w:sz w:val="24"/>
            <w:szCs w:val="24"/>
            <w:u w:val="single"/>
          </w:rPr>
          <w:t xml:space="preserve">Плана счетов</w:t>
        </w:r>
      </w:hyperlink>
      <w:r>
        <w:rPr>
          <w:rFonts w:ascii="Arial" w:cs="Arial" w:eastAsia="Arial" w:hAnsi="Arial"/>
          <w:sz w:val="24"/>
          <w:szCs w:val="24"/>
        </w:rPr>
        <w:t xml:space="preserve"> бухгалтерского учета в коммерческих банках и других финансово-кредитных организациях Кыргызской Республики" от 30 мая 2007 года № 28/3 следующие изменения:</w:t>
      </w:r>
    </w:p>
    <w:p>
      <w:pPr>
        <w:spacing w:after="60"/>
        <w:ind w:firstLine="567"/>
        <w:jc w:val="both"/>
      </w:pPr>
      <w:r>
        <w:rPr>
          <w:rFonts w:ascii="Arial" w:cs="Arial" w:eastAsia="Arial" w:hAnsi="Arial"/>
          <w:sz w:val="24"/>
          <w:szCs w:val="24"/>
        </w:rPr>
        <w:t xml:space="preserve">в </w:t>
      </w:r>
      <w:hyperlink w:history="1" r:id="rId4c8fofxvcedzg7sucselb">
        <w:r>
          <w:rPr>
            <w:rFonts w:ascii="Arial" w:cs="Arial" w:eastAsia="Arial" w:hAnsi="Arial"/>
            <w:color w:val="1D4ED8"/>
            <w:sz w:val="24"/>
            <w:szCs w:val="24"/>
            <w:u w:val="single"/>
          </w:rPr>
          <w:t xml:space="preserve">Плане счетов</w:t>
        </w:r>
      </w:hyperlink>
      <w:r>
        <w:rPr>
          <w:rFonts w:ascii="Arial" w:cs="Arial" w:eastAsia="Arial" w:hAnsi="Arial"/>
          <w:sz w:val="24"/>
          <w:szCs w:val="24"/>
        </w:rPr>
        <w:t xml:space="preserve"> бухгалтерского учета в коммерческих банках и других финансово-кредитных организациях Кыргызской Республики, утвержденном вышеуказанным </w:t>
      </w:r>
      <w:hyperlink w:history="1" r:id="rIdomjhj-zldi_bbe4exrn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Классе 9. Забалансовые счета:</w:t>
      </w:r>
    </w:p>
    <w:p>
      <w:pPr>
        <w:spacing w:after="60"/>
        <w:ind w:firstLine="567"/>
        <w:jc w:val="both"/>
      </w:pPr>
      <w:r>
        <w:rPr>
          <w:rFonts w:ascii="Arial" w:cs="Arial" w:eastAsia="Arial" w:hAnsi="Arial"/>
          <w:sz w:val="24"/>
          <w:szCs w:val="24"/>
        </w:rPr>
        <w:t xml:space="preserve">группу "92600 Обязательства, связанные с определенными сделками - контр-счета" изложить в следующей редакции:</w:t>
      </w:r>
    </w:p>
    <w:p>
      <w:pPr>
        <w:spacing w:after="60"/>
        <w:ind w:firstLine="567"/>
        <w:jc w:val="both"/>
      </w:pPr>
      <w:r>
        <w:rPr>
          <w:rFonts w:ascii="Arial" w:cs="Arial" w:eastAsia="Arial" w:hAnsi="Arial"/>
          <w:sz w:val="24"/>
          <w:szCs w:val="24"/>
        </w:rPr>
        <w:t xml:space="preserve">"Группа 92600 Обязательства, связанные с определенными сделками - контр-счета</w:t>
      </w:r>
    </w:p>
    <w:p>
      <w:pPr>
        <w:spacing w:after="60"/>
        <w:ind w:firstLine="567"/>
        <w:jc w:val="both"/>
      </w:pPr>
      <w:r>
        <w:rPr>
          <w:rFonts w:ascii="Arial" w:cs="Arial" w:eastAsia="Arial" w:hAnsi="Arial"/>
          <w:sz w:val="24"/>
          <w:szCs w:val="24"/>
        </w:rPr>
        <w:t xml:space="preserve">92601 Гарантии предложения - контр-счета</w:t>
      </w:r>
    </w:p>
    <w:p>
      <w:pPr>
        <w:spacing w:after="60"/>
        <w:ind w:firstLine="567"/>
        <w:jc w:val="both"/>
      </w:pPr>
      <w:r>
        <w:rPr>
          <w:rFonts w:ascii="Arial" w:cs="Arial" w:eastAsia="Arial" w:hAnsi="Arial"/>
          <w:sz w:val="24"/>
          <w:szCs w:val="24"/>
        </w:rPr>
        <w:t xml:space="preserve">92609 Гарантии исполнения - контр-счета</w:t>
      </w:r>
    </w:p>
    <w:p>
      <w:pPr>
        <w:spacing w:after="60"/>
        <w:ind w:firstLine="567"/>
        <w:jc w:val="both"/>
      </w:pPr>
      <w:r>
        <w:rPr>
          <w:rFonts w:ascii="Arial" w:cs="Arial" w:eastAsia="Arial" w:hAnsi="Arial"/>
          <w:sz w:val="24"/>
          <w:szCs w:val="24"/>
        </w:rPr>
        <w:t xml:space="preserve">92611 Авансовая гарантия - контр-счета</w:t>
      </w:r>
    </w:p>
    <w:p>
      <w:pPr>
        <w:spacing w:after="60"/>
        <w:ind w:firstLine="567"/>
        <w:jc w:val="both"/>
      </w:pPr>
      <w:r>
        <w:rPr>
          <w:rFonts w:ascii="Arial" w:cs="Arial" w:eastAsia="Arial" w:hAnsi="Arial"/>
          <w:sz w:val="24"/>
          <w:szCs w:val="24"/>
        </w:rPr>
        <w:t xml:space="preserve">92619 Торговые импортные аккредитивы - контр-счета</w:t>
      </w:r>
    </w:p>
    <w:p>
      <w:pPr>
        <w:spacing w:after="60"/>
        <w:ind w:firstLine="567"/>
        <w:jc w:val="both"/>
      </w:pPr>
      <w:r>
        <w:rPr>
          <w:rFonts w:ascii="Arial" w:cs="Arial" w:eastAsia="Arial" w:hAnsi="Arial"/>
          <w:sz w:val="24"/>
          <w:szCs w:val="24"/>
        </w:rPr>
        <w:t xml:space="preserve">92621 Торговые экспортные аккредитивы - контр-счета</w:t>
      </w:r>
    </w:p>
    <w:p>
      <w:pPr>
        <w:spacing w:after="60"/>
        <w:ind w:firstLine="567"/>
        <w:jc w:val="both"/>
      </w:pPr>
      <w:r>
        <w:rPr>
          <w:rFonts w:ascii="Arial" w:cs="Arial" w:eastAsia="Arial" w:hAnsi="Arial"/>
          <w:sz w:val="24"/>
          <w:szCs w:val="24"/>
        </w:rPr>
        <w:t xml:space="preserve">92631 Самоликвидирующиеся обязательства по выдаче кредитов - контр-счета</w:t>
      </w:r>
    </w:p>
    <w:p>
      <w:pPr>
        <w:spacing w:after="60"/>
        <w:ind w:firstLine="567"/>
        <w:jc w:val="both"/>
      </w:pPr>
      <w:r>
        <w:rPr>
          <w:rFonts w:ascii="Arial" w:cs="Arial" w:eastAsia="Arial" w:hAnsi="Arial"/>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92642 Опцион пут - контр-счета";</w:t>
      </w:r>
    </w:p>
    <w:p>
      <w:pPr>
        <w:spacing w:after="60"/>
        <w:ind w:firstLine="567"/>
        <w:jc w:val="both"/>
      </w:pPr>
      <w:r>
        <w:rPr>
          <w:rFonts w:ascii="Arial" w:cs="Arial" w:eastAsia="Arial" w:hAnsi="Arial"/>
          <w:sz w:val="24"/>
          <w:szCs w:val="24"/>
        </w:rPr>
        <w:t xml:space="preserve">- в </w:t>
      </w:r>
      <w:hyperlink w:history="1" r:id="rIddlnvf8nyvgloxmnjqdgh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Плану счетов бухгалтерского учета в коммерческих банках и других финансово-кредитных организациях Кыргызской Республики:</w:t>
      </w:r>
    </w:p>
    <w:p>
      <w:pPr>
        <w:spacing w:after="60"/>
        <w:ind w:firstLine="567"/>
        <w:jc w:val="both"/>
      </w:pPr>
      <w:r>
        <w:rPr>
          <w:rFonts w:ascii="Arial" w:cs="Arial" w:eastAsia="Arial" w:hAnsi="Arial"/>
          <w:sz w:val="24"/>
          <w:szCs w:val="24"/>
        </w:rPr>
        <w:t xml:space="preserve">в Классе 9. Забалансовые счета:</w:t>
      </w:r>
    </w:p>
    <w:p>
      <w:pPr>
        <w:spacing w:after="60"/>
        <w:ind w:firstLine="567"/>
        <w:jc w:val="both"/>
      </w:pPr>
      <w:r>
        <w:rPr>
          <w:rFonts w:ascii="Arial" w:cs="Arial" w:eastAsia="Arial" w:hAnsi="Arial"/>
          <w:sz w:val="24"/>
          <w:szCs w:val="24"/>
        </w:rPr>
        <w:t xml:space="preserve">группу "92600 Обязательства, связанные с определенными сделками - контр-счета" изложить в следующей редакции:</w:t>
      </w:r>
    </w:p>
    <w:p>
      <w:pPr>
        <w:spacing w:after="60"/>
        <w:ind w:firstLine="567"/>
        <w:jc w:val="both"/>
      </w:pPr>
      <w:r>
        <w:rPr>
          <w:rFonts w:ascii="Arial" w:cs="Arial" w:eastAsia="Arial" w:hAnsi="Arial"/>
          <w:sz w:val="24"/>
          <w:szCs w:val="24"/>
        </w:rPr>
        <w:t xml:space="preserve">"Группа 92600 Обязательства, связанные с определенными сделками - контр-счета</w:t>
      </w:r>
    </w:p>
    <w:p>
      <w:pPr>
        <w:spacing w:after="60"/>
        <w:ind w:firstLine="567"/>
        <w:jc w:val="both"/>
      </w:pPr>
      <w:r>
        <w:rPr>
          <w:rFonts w:ascii="Arial" w:cs="Arial" w:eastAsia="Arial" w:hAnsi="Arial"/>
          <w:sz w:val="24"/>
          <w:szCs w:val="24"/>
        </w:rPr>
        <w:t xml:space="preserve">92601 Гарантии предложения - контр-счета</w:t>
      </w:r>
    </w:p>
    <w:p>
      <w:pPr>
        <w:spacing w:after="60"/>
        <w:ind w:firstLine="567"/>
        <w:jc w:val="both"/>
      </w:pPr>
      <w:r>
        <w:rPr>
          <w:rFonts w:ascii="Arial" w:cs="Arial" w:eastAsia="Arial" w:hAnsi="Arial"/>
          <w:sz w:val="24"/>
          <w:szCs w:val="24"/>
        </w:rPr>
        <w:t xml:space="preserve">92609 Гарантии исполнения - контр-счета</w:t>
      </w:r>
    </w:p>
    <w:p>
      <w:pPr>
        <w:spacing w:after="60"/>
        <w:ind w:firstLine="567"/>
        <w:jc w:val="both"/>
      </w:pPr>
      <w:r>
        <w:rPr>
          <w:rFonts w:ascii="Arial" w:cs="Arial" w:eastAsia="Arial" w:hAnsi="Arial"/>
          <w:sz w:val="24"/>
          <w:szCs w:val="24"/>
        </w:rPr>
        <w:t xml:space="preserve">92611 Авансовые гарантии - контр-счета</w:t>
      </w:r>
    </w:p>
    <w:p>
      <w:pPr>
        <w:spacing w:after="60"/>
        <w:ind w:firstLine="567"/>
        <w:jc w:val="both"/>
      </w:pPr>
      <w:r>
        <w:rPr>
          <w:rFonts w:ascii="Arial" w:cs="Arial" w:eastAsia="Arial" w:hAnsi="Arial"/>
          <w:sz w:val="24"/>
          <w:szCs w:val="24"/>
        </w:rPr>
        <w:t xml:space="preserve">92619 Торговые импортные аккредитивы - контр-счета</w:t>
      </w:r>
    </w:p>
    <w:p>
      <w:pPr>
        <w:spacing w:after="60"/>
        <w:ind w:firstLine="567"/>
        <w:jc w:val="both"/>
      </w:pPr>
      <w:r>
        <w:rPr>
          <w:rFonts w:ascii="Arial" w:cs="Arial" w:eastAsia="Arial" w:hAnsi="Arial"/>
          <w:sz w:val="24"/>
          <w:szCs w:val="24"/>
        </w:rPr>
        <w:t xml:space="preserve">92621 Подтвержденные торговые экспортные аккредитивы - контр-счета</w:t>
      </w:r>
    </w:p>
    <w:p>
      <w:pPr>
        <w:spacing w:after="60"/>
        <w:ind w:firstLine="567"/>
        <w:jc w:val="both"/>
      </w:pPr>
      <w:r>
        <w:rPr>
          <w:rFonts w:ascii="Arial" w:cs="Arial" w:eastAsia="Arial" w:hAnsi="Arial"/>
          <w:sz w:val="24"/>
          <w:szCs w:val="24"/>
        </w:rPr>
        <w:t xml:space="preserve">92631 Самоликвидирующиеся обязательства по выдаче кредита - контр-счета</w:t>
      </w:r>
    </w:p>
    <w:p>
      <w:pPr>
        <w:spacing w:after="60"/>
        <w:ind w:firstLine="567"/>
        <w:jc w:val="both"/>
      </w:pPr>
      <w:r>
        <w:rPr>
          <w:rFonts w:ascii="Arial" w:cs="Arial" w:eastAsia="Arial" w:hAnsi="Arial"/>
          <w:sz w:val="24"/>
          <w:szCs w:val="24"/>
        </w:rPr>
        <w:t xml:space="preserve">92641 Опцион колл - контр-счета</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колл). Данный счет ведется в номинале валюты. По дебету счета отражается закрытие данного счета. По кредиту счета отражается сумма покупаемого опцион контракта.</w:t>
      </w:r>
    </w:p>
    <w:p>
      <w:pPr>
        <w:spacing w:after="60"/>
        <w:ind w:firstLine="567"/>
        <w:jc w:val="both"/>
      </w:pPr>
      <w:r>
        <w:rPr>
          <w:rFonts w:ascii="Arial" w:cs="Arial" w:eastAsia="Arial" w:hAnsi="Arial"/>
          <w:sz w:val="24"/>
          <w:szCs w:val="24"/>
        </w:rPr>
        <w:t xml:space="preserve">92642 Контрсчет к опцион контракту (пут)</w:t>
      </w:r>
    </w:p>
    <w:p>
      <w:pPr>
        <w:spacing w:after="60"/>
        <w:ind w:firstLine="567"/>
        <w:jc w:val="both"/>
      </w:pPr>
      <w:r>
        <w:rPr>
          <w:rFonts w:ascii="Arial" w:cs="Arial" w:eastAsia="Arial" w:hAnsi="Arial"/>
          <w:sz w:val="24"/>
          <w:szCs w:val="24"/>
        </w:rPr>
        <w:t xml:space="preserve">На этом счете учитываются сделки по опцион контракту (опцион пут). Данный счет ведется в номинале валюты. По дебету счета отражается сумма покупаемого опцион-контракта. По кредиту счета отражается закрытие данного счета.".</w:t>
      </w:r>
    </w:p>
    <w:p>
      <w:pPr>
        <w:spacing w:after="60"/>
        <w:ind w:firstLine="567"/>
        <w:jc w:val="both"/>
      </w:pPr>
      <w:r>
        <w:rPr>
          <w:rFonts w:ascii="Arial" w:cs="Arial" w:eastAsia="Arial" w:hAnsi="Arial"/>
          <w:sz w:val="24"/>
          <w:szCs w:val="24"/>
        </w:rPr>
        <w:t xml:space="preserve">8. Внести в </w:t>
      </w:r>
      <w:hyperlink w:history="1" r:id="rId8ii_m1lgeswxnjqo8x8r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asgxuwmpducg3v3kiqum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от 17 мая 2017 года № 19/13 следующие изменения:</w:t>
      </w:r>
    </w:p>
    <w:p>
      <w:pPr>
        <w:spacing w:after="60"/>
        <w:ind w:firstLine="567"/>
        <w:jc w:val="both"/>
      </w:pPr>
      <w:r>
        <w:rPr>
          <w:rFonts w:ascii="Arial" w:cs="Arial" w:eastAsia="Arial" w:hAnsi="Arial"/>
          <w:sz w:val="24"/>
          <w:szCs w:val="24"/>
        </w:rPr>
        <w:t xml:space="preserve">в </w:t>
      </w:r>
      <w:hyperlink w:history="1" r:id="rId1x-ocij72bj8a7zx96hp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 утвержденном вышеуказанным</w:t>
      </w:r>
      <w:hyperlink w:history="1" r:id="rIdxjel9aef_vlcrvvkhzhdn">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"Банк" - коммерческий банк или иная финансово-кредитная организация, лицензируемая Национальным банком, и/или подлежащая надзору со стороны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абзаце седьмом слово "могут" заменить словами "могут быть";</w:t>
      </w:r>
    </w:p>
    <w:p>
      <w:pPr>
        <w:spacing w:after="60"/>
        <w:ind w:firstLine="567"/>
        <w:jc w:val="both"/>
      </w:pPr>
      <w:r>
        <w:rPr>
          <w:rFonts w:ascii="Arial" w:cs="Arial" w:eastAsia="Arial" w:hAnsi="Arial"/>
          <w:sz w:val="24"/>
          <w:szCs w:val="24"/>
        </w:rPr>
        <w:t xml:space="preserve">абзац десятый изложить в следующей редакции:</w:t>
      </w:r>
    </w:p>
    <w:p>
      <w:pPr>
        <w:spacing w:after="60"/>
        <w:ind w:firstLine="567"/>
        <w:jc w:val="both"/>
      </w:pPr>
      <w:r>
        <w:rPr>
          <w:rFonts w:ascii="Arial" w:cs="Arial" w:eastAsia="Arial" w:hAnsi="Arial"/>
          <w:sz w:val="24"/>
          <w:szCs w:val="24"/>
        </w:rPr>
        <w:t xml:space="preserve">"Разбирательство" - процесс рассмотрения жалобы (далее - заявление об апелляции) на решение Национального банка в соответствии с настоящим </w:t>
      </w:r>
      <w:hyperlink w:history="1" r:id="rIdjdyd6oh5hfsjrnr3keofu">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 всему тексту главы 2 слово "принятого" заменить словом "принятое";</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в абзаце втором слово "вытекающего" заменить словом "вытекающее";</w:t>
      </w:r>
    </w:p>
    <w:p>
      <w:pPr>
        <w:spacing w:after="60"/>
        <w:ind w:firstLine="567"/>
        <w:jc w:val="both"/>
      </w:pPr>
      <w:r>
        <w:rPr>
          <w:rFonts w:ascii="Arial" w:cs="Arial" w:eastAsia="Arial" w:hAnsi="Arial"/>
          <w:sz w:val="24"/>
          <w:szCs w:val="24"/>
        </w:rPr>
        <w:t xml:space="preserve">в абзаце пятом слово "принимаются" заменить словом "принимается";</w:t>
      </w:r>
    </w:p>
    <w:p>
      <w:pPr>
        <w:spacing w:after="60"/>
        <w:ind w:firstLine="567"/>
        <w:jc w:val="both"/>
      </w:pPr>
      <w:r>
        <w:rPr>
          <w:rFonts w:ascii="Arial" w:cs="Arial" w:eastAsia="Arial" w:hAnsi="Arial"/>
          <w:sz w:val="24"/>
          <w:szCs w:val="24"/>
        </w:rPr>
        <w:t xml:space="preserve">- в пункте 16 цифру "15" заменить цифрой "25";</w:t>
      </w:r>
    </w:p>
    <w:p>
      <w:pPr>
        <w:spacing w:after="60"/>
        <w:ind w:firstLine="567"/>
        <w:jc w:val="both"/>
      </w:pPr>
      <w:r>
        <w:rPr>
          <w:rFonts w:ascii="Arial" w:cs="Arial" w:eastAsia="Arial" w:hAnsi="Arial"/>
          <w:sz w:val="24"/>
          <w:szCs w:val="24"/>
        </w:rPr>
        <w:t xml:space="preserve">- в пункте 17:</w:t>
      </w:r>
    </w:p>
    <w:p>
      <w:pPr>
        <w:spacing w:after="60"/>
        <w:ind w:firstLine="567"/>
        <w:jc w:val="both"/>
      </w:pPr>
      <w:r>
        <w:rPr>
          <w:rFonts w:ascii="Arial" w:cs="Arial" w:eastAsia="Arial" w:hAnsi="Arial"/>
          <w:sz w:val="24"/>
          <w:szCs w:val="24"/>
        </w:rPr>
        <w:t xml:space="preserve">первое предложение изложить в следующей редакции:</w:t>
      </w:r>
    </w:p>
    <w:p>
      <w:pPr>
        <w:spacing w:after="60"/>
        <w:ind w:firstLine="567"/>
        <w:jc w:val="both"/>
      </w:pPr>
      <w:r>
        <w:rPr>
          <w:rFonts w:ascii="Arial" w:cs="Arial" w:eastAsia="Arial" w:hAnsi="Arial"/>
          <w:sz w:val="24"/>
          <w:szCs w:val="24"/>
        </w:rPr>
        <w:t xml:space="preserve">"Ответственное структурное подразделение, в течение 10 календарных дней с момента получения Национальным банком заявления об апелляции, но не позднее даты проведения заседания, определенной Председателем Национального банка или Заместителем Председателя/Членом Правления Национального банка, по рассмотрению заявления об апелляции в соответствии с пунктом 12 настоящего </w:t>
      </w:r>
      <w:hyperlink w:history="1" r:id="rIdczupkuqi0itfuqubnesq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обязано при получении заявления об апелляции проверить соответствие заявления об апелляции требованиям пункта 11 настоящего Положения.";</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"В случае не устранения указанных Национальным банком недостатков заявление об апелляции признается недопустимым и оставляется без рассмотрения.";</w:t>
      </w:r>
    </w:p>
    <w:p>
      <w:pPr>
        <w:spacing w:after="60"/>
        <w:ind w:firstLine="567"/>
        <w:jc w:val="both"/>
      </w:pPr>
      <w:r>
        <w:rPr>
          <w:rFonts w:ascii="Arial" w:cs="Arial" w:eastAsia="Arial" w:hAnsi="Arial"/>
          <w:sz w:val="24"/>
          <w:szCs w:val="24"/>
        </w:rPr>
        <w:t xml:space="preserve">- в пункте 22 цифру "3" заменить цифрой "7".</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qj72ojkviv5dmkvatna">
      <w:r>
        <w:rPr>
          <w:rFonts w:ascii="Arial" w:cs="Arial" w:eastAsia="Arial" w:hAnsi="Arial"/>
          <w:color w:val="132D3F"/>
          <w:sz w:val="16"/>
          <w:szCs w:val="16"/>
          <w:u w:val="single"/>
        </w:rPr>
        <w:t xml:space="preserve">dalil.kg/document/800223</w:t>
      </w:r>
    </w:hyperlink>
  </w:p>
  <w:p>
    <w:pPr>
      <w:spacing w:after="0" w:before="40"/>
      <w:jc w:val="center"/>
    </w:pPr>
    <w:hyperlink w:history="1" r:id="rIdmljjolvkiowclcvuo0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yhhiw_ffwlfczt3xtt_p" Type="http://schemas.openxmlformats.org/officeDocument/2006/relationships/hyperlink" Target="https://dalil.kg/document/111486" TargetMode="External"/><Relationship Id="rId8uio6rc4tevbsoacbiuwj" Type="http://schemas.openxmlformats.org/officeDocument/2006/relationships/hyperlink" Target="https://dalil.kg/document/800223#p1" TargetMode="External"/><Relationship Id="rId1m-ed9b74c0f11relixbb" Type="http://schemas.openxmlformats.org/officeDocument/2006/relationships/hyperlink" Target="https://dalil.kg/document/302548" TargetMode="External"/><Relationship Id="rIdgcbgiuot2nojk9rb6venk" Type="http://schemas.openxmlformats.org/officeDocument/2006/relationships/hyperlink" Target="https://dalil.kg/document/302547" TargetMode="External"/><Relationship Id="rIdh-xsdzgutozwgk8ctlwxq" Type="http://schemas.openxmlformats.org/officeDocument/2006/relationships/hyperlink" Target="https://dalil.kg/document/300340" TargetMode="External"/><Relationship Id="rId6jnjcb16wqmb1rzfygjby" Type="http://schemas.openxmlformats.org/officeDocument/2006/relationships/hyperlink" Target="https://dalil.kg/document/300339" TargetMode="External"/><Relationship Id="rId_yje81apdml4yub3q2ngj" Type="http://schemas.openxmlformats.org/officeDocument/2006/relationships/hyperlink" Target="https://dalil.kg/document/31124" TargetMode="External"/><Relationship Id="rIdmtoahxrslyhblrbfznh6w" Type="http://schemas.openxmlformats.org/officeDocument/2006/relationships/hyperlink" Target="https://dalil.kg/document/31095" TargetMode="External"/><Relationship Id="rIdllu3behtdet_3yebgm2v0" Type="http://schemas.openxmlformats.org/officeDocument/2006/relationships/hyperlink" Target="https://dalil.kg/document/300272" TargetMode="External"/><Relationship Id="rIdwmrszaqh-0xgx6sci3vr_" Type="http://schemas.openxmlformats.org/officeDocument/2006/relationships/hyperlink" Target="https://dalil.kg/document/300272" TargetMode="External"/><Relationship Id="rIdpt7edkk7h-alnoalh8kgl" Type="http://schemas.openxmlformats.org/officeDocument/2006/relationships/hyperlink" Target="https://dalil.kg/document/800088" TargetMode="External"/><Relationship Id="rIdta1du4ykhzt1wr4fu4-jh" Type="http://schemas.openxmlformats.org/officeDocument/2006/relationships/hyperlink" Target="https://dalil.kg/document/800087" TargetMode="External"/><Relationship Id="rIdfdiz83f61wf3sofdytycc" Type="http://schemas.openxmlformats.org/officeDocument/2006/relationships/hyperlink" Target="https://dalil.kg/document/800225" TargetMode="External"/><Relationship Id="rIdix8rakz3fcsnq7j_bnjzw" Type="http://schemas.openxmlformats.org/officeDocument/2006/relationships/hyperlink" Target="https://dalil.kg/document/800224" TargetMode="External"/><Relationship Id="rIdklr-h7fhalpvc02utpzk9" Type="http://schemas.openxmlformats.org/officeDocument/2006/relationships/hyperlink" Target="https://dalil.kg/document/300669" TargetMode="External"/><Relationship Id="rId9nadsvjdqtxy5jijagre8" Type="http://schemas.openxmlformats.org/officeDocument/2006/relationships/hyperlink" Target="https://dalil.kg/document/300670" TargetMode="External"/><Relationship Id="rIdnih7xe5sjm3nkjmzwzhnt" Type="http://schemas.openxmlformats.org/officeDocument/2006/relationships/hyperlink" Target="https://dalil.kg/document/800227" TargetMode="External"/><Relationship Id="rIdkrjokjvvveq6qty65metm" Type="http://schemas.openxmlformats.org/officeDocument/2006/relationships/hyperlink" Target="https://dalil.kg/document/800227" TargetMode="External"/><Relationship Id="rIdmtowrws7lbmsp78ziadhq" Type="http://schemas.openxmlformats.org/officeDocument/2006/relationships/hyperlink" Target="https://dalil.kg/document/302547" TargetMode="External"/><Relationship Id="rId_r6j2i3riisqg0r2r0rrf" Type="http://schemas.openxmlformats.org/officeDocument/2006/relationships/hyperlink" Target="https://dalil.kg/document/302548" TargetMode="External"/><Relationship Id="rIdryqm8y3qo1-xhjlrijxhu" Type="http://schemas.openxmlformats.org/officeDocument/2006/relationships/hyperlink" Target="https://dalil.kg/document/302548" TargetMode="External"/><Relationship Id="rIdeezegi9qauqlzg75vyfff" Type="http://schemas.openxmlformats.org/officeDocument/2006/relationships/hyperlink" Target="https://dalil.kg/document/302547" TargetMode="External"/><Relationship Id="rId30nstgvwcnehfe39yz02s" Type="http://schemas.openxmlformats.org/officeDocument/2006/relationships/hyperlink" Target="https://dalil.kg/document/202329" TargetMode="External"/><Relationship Id="rId4-a81ot35k5nshnxzth_g" Type="http://schemas.openxmlformats.org/officeDocument/2006/relationships/hyperlink" Target="https://dalil.kg/document/302548#p1" TargetMode="External"/><Relationship Id="rIdinrvctjiwixclq2xeqnji" Type="http://schemas.openxmlformats.org/officeDocument/2006/relationships/hyperlink" Target="https://dalil.kg/document/302548#p3" TargetMode="External"/><Relationship Id="rId0dz2xr5ngw3wt6qv0qb42" Type="http://schemas.openxmlformats.org/officeDocument/2006/relationships/hyperlink" Target="https://dalil.kg/document/300339" TargetMode="External"/><Relationship Id="rId0g4mbs6gs0audqyjbmbfj" Type="http://schemas.openxmlformats.org/officeDocument/2006/relationships/hyperlink" Target="https://dalil.kg/document/300340" TargetMode="External"/><Relationship Id="rIdvxbpvecoyxxswjxn348ha" Type="http://schemas.openxmlformats.org/officeDocument/2006/relationships/hyperlink" Target="https://dalil.kg/document/300340" TargetMode="External"/><Relationship Id="rIduhzqvghq_jtrkhyjtr1u8" Type="http://schemas.openxmlformats.org/officeDocument/2006/relationships/hyperlink" Target="https://dalil.kg/document/300339" TargetMode="External"/><Relationship Id="rId0bo_n7b6r1uy0htlfktzb" Type="http://schemas.openxmlformats.org/officeDocument/2006/relationships/hyperlink" Target="https://dalil.kg/document/31095" TargetMode="External"/><Relationship Id="rIdbqutoz1fkqshonnk7qyg4" Type="http://schemas.openxmlformats.org/officeDocument/2006/relationships/hyperlink" Target="https://dalil.kg/document/31124" TargetMode="External"/><Relationship Id="rIddyyuvigkn_mmauxwjg5fy" Type="http://schemas.openxmlformats.org/officeDocument/2006/relationships/hyperlink" Target="https://dalil.kg/document/31124" TargetMode="External"/><Relationship Id="rIdoq2dvvbneuyki7ozrmglt" Type="http://schemas.openxmlformats.org/officeDocument/2006/relationships/hyperlink" Target="https://dalil.kg/document/31095" TargetMode="External"/><Relationship Id="rIdi7edb3hehkv6wzvg0qbhn" Type="http://schemas.openxmlformats.org/officeDocument/2006/relationships/hyperlink" Target="https://dalil.kg/document/300272" TargetMode="External"/><Relationship Id="rIdzqj5l3moqwm3arebx0zdl" Type="http://schemas.openxmlformats.org/officeDocument/2006/relationships/hyperlink" Target="https://dalil.kg/document/300272" TargetMode="External"/><Relationship Id="rIdwmhjmskq2aimdi9c-n6eo" Type="http://schemas.openxmlformats.org/officeDocument/2006/relationships/hyperlink" Target="https://dalil.kg/document/300272" TargetMode="External"/><Relationship Id="rIdy-tjvc6ykayzmwjuu46xz" Type="http://schemas.openxmlformats.org/officeDocument/2006/relationships/hyperlink" Target="https://dalil.kg/document/300272" TargetMode="External"/><Relationship Id="rIdol8dcasd6onf4rx_kqqy4" Type="http://schemas.openxmlformats.org/officeDocument/2006/relationships/hyperlink" Target="https://dalil.kg/document/800087" TargetMode="External"/><Relationship Id="rIdnuxr2zjio8zk_bijve7ys" Type="http://schemas.openxmlformats.org/officeDocument/2006/relationships/hyperlink" Target="https://dalil.kg/document/800088" TargetMode="External"/><Relationship Id="rIdvrrtlsxeeq7s8spsj-xqb" Type="http://schemas.openxmlformats.org/officeDocument/2006/relationships/hyperlink" Target="https://dalil.kg/document/800088" TargetMode="External"/><Relationship Id="rIdg3nea3mt8pwk0xjcse9fa" Type="http://schemas.openxmlformats.org/officeDocument/2006/relationships/hyperlink" Target="https://dalil.kg/document/800087" TargetMode="External"/><Relationship Id="rIdl74xw_9yugpipflw2cwcg" Type="http://schemas.openxmlformats.org/officeDocument/2006/relationships/hyperlink" Target="https://dalil.kg/document/800224" TargetMode="External"/><Relationship Id="rIdcpitxtb4szruys0njxcsf" Type="http://schemas.openxmlformats.org/officeDocument/2006/relationships/hyperlink" Target="https://dalil.kg/document/800225" TargetMode="External"/><Relationship Id="rId_pwtipjm6-x5x4k5leclr" Type="http://schemas.openxmlformats.org/officeDocument/2006/relationships/hyperlink" Target="https://dalil.kg/document/800225" TargetMode="External"/><Relationship Id="rIdbkcz9phnxeuwgm4tnfzaf" Type="http://schemas.openxmlformats.org/officeDocument/2006/relationships/hyperlink" Target="https://dalil.kg/document/800224" TargetMode="External"/><Relationship Id="rIdyxmc5ytzvnz115-yp4evo" Type="http://schemas.openxmlformats.org/officeDocument/2006/relationships/hyperlink" Target="https://dalil.kg/document/800225" TargetMode="External"/><Relationship Id="rIdubd9lr6gbdqlx84dv-n4d" Type="http://schemas.openxmlformats.org/officeDocument/2006/relationships/hyperlink" Target="https://dalil.kg/document/300669" TargetMode="External"/><Relationship Id="rIdao1spe02v5aofdyoj1hhy" Type="http://schemas.openxmlformats.org/officeDocument/2006/relationships/hyperlink" Target="https://dalil.kg/document/300670" TargetMode="External"/><Relationship Id="rId4c8fofxvcedzg7sucselb" Type="http://schemas.openxmlformats.org/officeDocument/2006/relationships/hyperlink" Target="https://dalil.kg/document/300670" TargetMode="External"/><Relationship Id="rIdomjhj-zldi_bbe4exrnuk" Type="http://schemas.openxmlformats.org/officeDocument/2006/relationships/hyperlink" Target="https://dalil.kg/document/300369" TargetMode="External"/><Relationship Id="rIddlnvf8nyvgloxmnjqdgho" Type="http://schemas.openxmlformats.org/officeDocument/2006/relationships/hyperlink" Target="https://dalil.kg/document/300670" TargetMode="External"/><Relationship Id="rId8ii_m1lgeswxnjqo8x8ry" Type="http://schemas.openxmlformats.org/officeDocument/2006/relationships/hyperlink" Target="https://dalil.kg/document/800226" TargetMode="External"/><Relationship Id="rIdasgxuwmpducg3v3kiqumy" Type="http://schemas.openxmlformats.org/officeDocument/2006/relationships/hyperlink" Target="https://dalil.kg/document/800227" TargetMode="External"/><Relationship Id="rId1x-ocij72bj8a7zx96hpk" Type="http://schemas.openxmlformats.org/officeDocument/2006/relationships/hyperlink" Target="https://dalil.kg/document/800227" TargetMode="External"/><Relationship Id="rIdxjel9aef_vlcrvvkhzhdn" Type="http://schemas.openxmlformats.org/officeDocument/2006/relationships/hyperlink" Target="https://dalil.kg/document/800226" TargetMode="External"/><Relationship Id="rIdjdyd6oh5hfsjrnr3keofu" Type="http://schemas.openxmlformats.org/officeDocument/2006/relationships/hyperlink" Target="https://dalil.kg/document/800227" TargetMode="External"/><Relationship Id="rIdczupkuqi0itfuqubnesqk" Type="http://schemas.openxmlformats.org/officeDocument/2006/relationships/hyperlink" Target="https://dalil.kg/document/800227"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qj72ojkviv5dmkvatna" Type="http://schemas.openxmlformats.org/officeDocument/2006/relationships/hyperlink" Target="https://dalil.kg/document/800223" TargetMode="External"/><Relationship Id="rIdmljjolvkiowclcvuo0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2026-09-25T06:26:50.919Z</dcterms:created>
  <dcterms:modified xsi:type="dcterms:W3CDTF">2026-09-25T06:26:50.919Z</dcterms:modified>
</cp:coreProperties>
</file>

<file path=docProps/custom.xml><?xml version="1.0" encoding="utf-8"?>
<Properties xmlns="http://schemas.openxmlformats.org/officeDocument/2006/custom-properties" xmlns:vt="http://schemas.openxmlformats.org/officeDocument/2006/docPropsVTypes"/>
</file>