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22 декабря 2004 года. Регистрационный номер 150-04</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4kjwpoh_in2uycscr0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25 ноября 2004 года N 30/5</w:t>
      </w:r>
    </w:p>
    <w:p>
      <w:pPr>
        <w:spacing w:after="400" w:before="400"/>
        <w:jc w:val="center"/>
      </w:pPr>
      <w:r>
        <w:rPr>
          <w:rFonts w:ascii="Arial" w:cs="Arial" w:eastAsia="Arial" w:hAnsi="Arial"/>
          <w:b/>
          <w:bCs/>
          <w:sz w:val="32"/>
          <w:szCs w:val="32"/>
        </w:rPr>
        <w:t xml:space="preserve">ИНСТРУКЦИЯ
 об учете назначения платежей в банках</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_aobxefr2n-irlk7phohb">
        <w:r>
          <w:rPr>
            <w:rFonts w:ascii="Arial" w:cs="Arial" w:eastAsia="Arial" w:hAnsi="Arial"/>
            <w:i/>
            <w:iCs/>
            <w:color w:val="1D4ED8"/>
            <w:sz w:val="24"/>
            <w:szCs w:val="24"/>
            <w:u w:val="single"/>
          </w:rPr>
          <w:t xml:space="preserve">23 декабря 2013 года № 52/10</w:t>
        </w:r>
      </w:hyperlink>
      <w:r>
        <w:rPr>
          <w:rFonts w:ascii="Arial" w:cs="Arial" w:eastAsia="Arial" w:hAnsi="Arial"/>
          <w:i/>
          <w:iCs/>
          <w:sz w:val="24"/>
          <w:szCs w:val="24"/>
        </w:rPr>
        <w:t xml:space="preserve">,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zxb-gvgw8uqlchfjjqtrc">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 </w:t>
      </w:r>
      <w:hyperlink w:history="1" r:id="rIdp3kymalp1wqpvbh8s7g5x">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200" w:before="200"/>
        <w:jc w:val="center"/>
      </w:pPr>
      <w:r>
        <w:rPr>
          <w:rFonts w:ascii="Arial" w:cs="Arial" w:eastAsia="Arial" w:hAnsi="Arial"/>
          <w:b/>
          <w:bCs/>
          <w:sz w:val="24"/>
          <w:szCs w:val="24"/>
        </w:rPr>
        <w:t xml:space="preserve">1. Определения и общие сведения</w:t>
      </w:r>
    </w:p>
    <w:p>
      <w:pPr>
        <w:spacing w:after="60"/>
        <w:ind w:firstLine="567"/>
        <w:jc w:val="both"/>
      </w:pPr>
      <w:r>
        <w:rPr>
          <w:rFonts w:ascii="Arial" w:cs="Arial" w:eastAsia="Arial" w:hAnsi="Arial"/>
          <w:sz w:val="24"/>
          <w:szCs w:val="24"/>
        </w:rPr>
        <w:t xml:space="preserve">1.1. Инструкция об учете назначения платежей в банках (далее - Инструкция) устанавливает требования по сбору и учету информации по назначениям платежей Национальным банком Кыргызской Республики (далее - Национальный банк) в целях составления статистики платежного баланса Кыргызской Республики.</w:t>
      </w:r>
    </w:p>
    <w:p>
      <w:pPr>
        <w:spacing w:after="60"/>
        <w:ind w:firstLine="567"/>
        <w:jc w:val="both"/>
      </w:pPr>
      <w:r>
        <w:rPr>
          <w:rFonts w:ascii="Arial" w:cs="Arial" w:eastAsia="Arial" w:hAnsi="Arial"/>
          <w:sz w:val="24"/>
          <w:szCs w:val="24"/>
        </w:rPr>
        <w:t xml:space="preserve">Национальный банк гарантирует конфиденциальность полученных в соответствии с настоящей инструкцией данных. Полученные данные никоим образом не будут использоваться для проверки деятельности или финансового состояния отдельных клиентов банков и будут отражаться в платежном балансе Кыргызской Республики только в сводной форме.</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g7lnox9lgcrqarp0bzk5h">
        <w:r>
          <w:rPr>
            <w:rFonts w:ascii="Arial" w:cs="Arial" w:eastAsia="Arial" w:hAnsi="Arial"/>
            <w:i/>
            <w:iCs/>
            <w:color w:val="1D4ED8"/>
            <w:sz w:val="24"/>
            <w:szCs w:val="24"/>
            <w:u w:val="single"/>
          </w:rPr>
          <w:t xml:space="preserve">17 октября 2018 года № 2018-П-12/43-2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Настоящая Инструкция 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определяет формы и сроки представления коммерческими банками и финансово-кредитными организациями, лицензируемыми Национальным банком, информации по назначениям платежей, необходимой для составления платежного баланса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Отчеты в соответствии с настоящей инструкцией представляются всеми банками и финансово-кредитными организациями, лицензируемыми Национальным банком, (в дальнейшем "банки"), осуществляющими операции в иностранной валюте (включая валюты стран СНГ), имеющими корреспондентские счета в зарубежных банках или счета зарубежных банков-корреспондентов в банке, а также осуществляющими операции с нерезидентами в национальной валюте и иностранной валюте.</w:t>
      </w:r>
    </w:p>
    <w:p>
      <w:pPr>
        <w:spacing w:after="60"/>
        <w:ind w:firstLine="567"/>
        <w:jc w:val="both"/>
      </w:pPr>
      <w:r>
        <w:rPr>
          <w:rFonts w:ascii="Arial" w:cs="Arial" w:eastAsia="Arial" w:hAnsi="Arial"/>
          <w:sz w:val="24"/>
          <w:szCs w:val="24"/>
        </w:rPr>
        <w:t xml:space="preserve">В случае прекращения банком операций в иностранной валюте банк уведомляет об этом Национальный банк в письменной форме. При возобновлении операций в иностранной валюте банк также уведомляет об этом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Платежный баланс Кыргызской Республики</w:t>
      </w:r>
      <w:r>
        <w:rPr>
          <w:rFonts w:ascii="Arial" w:cs="Arial" w:eastAsia="Arial" w:hAnsi="Arial"/>
          <w:sz w:val="24"/>
          <w:szCs w:val="24"/>
        </w:rPr>
        <w:t xml:space="preserve"> - это статистическая отчетность, в которой отражаются суммарные данные о внешнеэкономических операциях Кыргызской Республики с другими странами мира за определенный период времени.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Резидентами</w:t>
      </w:r>
      <w:r>
        <w:rPr>
          <w:rFonts w:ascii="Arial" w:cs="Arial" w:eastAsia="Arial" w:hAnsi="Arial"/>
          <w:sz w:val="24"/>
          <w:szCs w:val="24"/>
        </w:rPr>
        <w:t xml:space="preserve"> являются:</w:t>
      </w:r>
    </w:p>
    <w:p>
      <w:pPr>
        <w:spacing w:after="60"/>
        <w:ind w:firstLine="567"/>
        <w:jc w:val="both"/>
      </w:pPr>
      <w:r>
        <w:rPr>
          <w:rFonts w:ascii="Arial" w:cs="Arial" w:eastAsia="Arial" w:hAnsi="Arial"/>
          <w:sz w:val="24"/>
          <w:szCs w:val="24"/>
        </w:rPr>
        <w:t xml:space="preserve">- физические лица, постоянно проживающие в Кыргызской Республике, в том числе временно находящиеся за границей. Иностранные физические лица, постоянно проживающие в Кыргызской Республике, становятся резидентами, после предоставления уведомления об иммиграции в соответствующие органы;</w:t>
      </w:r>
    </w:p>
    <w:p>
      <w:pPr>
        <w:spacing w:after="60"/>
        <w:ind w:firstLine="567"/>
        <w:jc w:val="both"/>
      </w:pPr>
      <w:r>
        <w:rPr>
          <w:rFonts w:ascii="Arial" w:cs="Arial" w:eastAsia="Arial" w:hAnsi="Arial"/>
          <w:sz w:val="24"/>
          <w:szCs w:val="24"/>
        </w:rPr>
        <w:t xml:space="preserve">- юридические лица, созданные в соответствии с законодательством Кыргызской Республики, с местонахождением в Кыргызской Республике;</w:t>
      </w:r>
    </w:p>
    <w:p>
      <w:pPr>
        <w:spacing w:after="60"/>
        <w:ind w:firstLine="567"/>
        <w:jc w:val="both"/>
      </w:pPr>
      <w:r>
        <w:rPr>
          <w:rFonts w:ascii="Arial" w:cs="Arial" w:eastAsia="Arial" w:hAnsi="Arial"/>
          <w:sz w:val="24"/>
          <w:szCs w:val="24"/>
        </w:rPr>
        <w:t xml:space="preserve">- дипломатические и иные официальные представительства Кыргызской Республики, находящиеся за границей;</w:t>
      </w:r>
    </w:p>
    <w:p>
      <w:pPr>
        <w:spacing w:after="60"/>
        <w:ind w:firstLine="567"/>
        <w:jc w:val="both"/>
      </w:pPr>
      <w:r>
        <w:rPr>
          <w:rFonts w:ascii="Arial" w:cs="Arial" w:eastAsia="Arial" w:hAnsi="Arial"/>
          <w:sz w:val="24"/>
          <w:szCs w:val="24"/>
        </w:rPr>
        <w:t xml:space="preserve">-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w:t>
      </w:r>
    </w:p>
    <w:p>
      <w:pPr>
        <w:spacing w:after="60"/>
        <w:ind w:firstLine="567"/>
        <w:jc w:val="both"/>
      </w:pPr>
      <w:r>
        <w:rPr>
          <w:rFonts w:ascii="Arial" w:cs="Arial" w:eastAsia="Arial" w:hAnsi="Arial"/>
          <w:sz w:val="24"/>
          <w:szCs w:val="24"/>
        </w:rPr>
        <w:t xml:space="preserve">- филиалы и представительства юридических лиц Кыргызской Республики, находящиеся за границей.</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Нерезиденты</w:t>
      </w:r>
      <w:r>
        <w:rPr>
          <w:rFonts w:ascii="Arial" w:cs="Arial" w:eastAsia="Arial" w:hAnsi="Arial"/>
          <w:sz w:val="24"/>
          <w:szCs w:val="24"/>
        </w:rPr>
        <w:t xml:space="preserve"> - это лица, не являющиеся резидентами.</w:t>
      </w:r>
    </w:p>
    <w:p>
      <w:pPr>
        <w:spacing w:after="200" w:before="200"/>
        <w:jc w:val="center"/>
      </w:pPr>
      <w:r>
        <w:rPr>
          <w:rFonts w:ascii="Arial" w:cs="Arial" w:eastAsia="Arial" w:hAnsi="Arial"/>
          <w:b/>
          <w:bCs/>
          <w:sz w:val="24"/>
          <w:szCs w:val="24"/>
        </w:rPr>
        <w:t xml:space="preserve">2. Формы и сроки представления отчетности</w:t>
      </w:r>
    </w:p>
    <w:p>
      <w:pPr>
        <w:spacing w:after="60"/>
        <w:ind w:firstLine="567"/>
        <w:jc w:val="both"/>
      </w:pPr>
      <w:r>
        <w:rPr>
          <w:rFonts w:ascii="Arial" w:cs="Arial" w:eastAsia="Arial" w:hAnsi="Arial"/>
          <w:sz w:val="24"/>
          <w:szCs w:val="24"/>
        </w:rPr>
        <w:t xml:space="preserve">2.1. Отчеты по формам ПБ-1 и ПБ-2 представляются в Национальный банк </w:t>
      </w:r>
      <w:r>
        <w:rPr>
          <w:rFonts w:ascii="Arial" w:cs="Arial" w:eastAsia="Arial" w:hAnsi="Arial"/>
          <w:sz w:val="24"/>
          <w:szCs w:val="24"/>
        </w:rPr>
        <w:t xml:space="preserve">в электронном формате, подписанные электронной подписью ответственного должностного лица с учетом требований настоящей инструкции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5ggqu5zzibn0jafbfvthl">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2.2. Отчет по форме ПБ-1 включает в себя информацию по остаткам средств на счетах на начало, конец отчетного периода и движение денежных средств в течение периода. Эта форма передается посредством электронной почты в виде файла формата, установленного в пункте 3 настоящей инструкции. Отчет по форме ПБ-1 отражает:</w:t>
      </w:r>
    </w:p>
    <w:p>
      <w:pPr>
        <w:spacing w:after="60"/>
        <w:ind w:firstLine="567"/>
        <w:jc w:val="both"/>
      </w:pPr>
      <w:r>
        <w:rPr>
          <w:rFonts w:ascii="Arial" w:cs="Arial" w:eastAsia="Arial" w:hAnsi="Arial"/>
          <w:sz w:val="24"/>
          <w:szCs w:val="24"/>
        </w:rPr>
        <w:t xml:space="preserve">а) операции по каждому корреспондентскому счету (ностро-счету) в зарубежном банке и по каждому корреспондентскому счету банка-нерезидента (лоро-счету) в кыргызском банке. Если лоро-счет открыт в сомах, операции по этому счету также необходимо отражать в отчете;</w:t>
      </w:r>
    </w:p>
    <w:p>
      <w:pPr>
        <w:spacing w:after="60"/>
        <w:ind w:firstLine="567"/>
        <w:jc w:val="both"/>
      </w:pPr>
      <w:r>
        <w:rPr>
          <w:rFonts w:ascii="Arial" w:cs="Arial" w:eastAsia="Arial" w:hAnsi="Arial"/>
          <w:sz w:val="24"/>
          <w:szCs w:val="24"/>
        </w:rPr>
        <w:t xml:space="preserve">б) движение наличной иностранной валюты;</w:t>
      </w:r>
    </w:p>
    <w:p>
      <w:pPr>
        <w:spacing w:after="60"/>
        <w:ind w:firstLine="567"/>
        <w:jc w:val="both"/>
      </w:pPr>
      <w:r>
        <w:rPr>
          <w:rFonts w:ascii="Arial" w:cs="Arial" w:eastAsia="Arial" w:hAnsi="Arial"/>
          <w:sz w:val="24"/>
          <w:szCs w:val="24"/>
        </w:rPr>
        <w:t xml:space="preserve">в) движение средств на счетах в национальной валюте и иностранной валюте клиентов-нерезидентов.</w:t>
      </w:r>
    </w:p>
    <w:p>
      <w:pPr>
        <w:spacing w:after="60"/>
        <w:ind w:firstLine="567"/>
        <w:jc w:val="both"/>
      </w:pPr>
      <w:r>
        <w:rPr>
          <w:rFonts w:ascii="Arial" w:cs="Arial" w:eastAsia="Arial" w:hAnsi="Arial"/>
          <w:sz w:val="24"/>
          <w:szCs w:val="24"/>
        </w:rPr>
        <w:t xml:space="preserve">2.3. Информация по остаткам средств на начало и конец отчетного периода по формам ПБ-1К, ПБ-1Н, ПБ-1СИ представляется</w:t>
      </w:r>
      <w:r>
        <w:rPr>
          <w:rFonts w:ascii="Arial" w:cs="Arial" w:eastAsia="Arial" w:hAnsi="Arial"/>
          <w:sz w:val="24"/>
          <w:szCs w:val="24"/>
        </w:rPr>
        <w:t xml:space="preserve"> в электронном формате, подписанная электронной подписью ответственного должностного лица и должна содержать следующее</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 форме ПБ-1К - информацию по остаткам средств на корреспондентских счетах в зарубежных банках;</w:t>
      </w:r>
    </w:p>
    <w:p>
      <w:pPr>
        <w:spacing w:after="60"/>
        <w:ind w:firstLine="567"/>
        <w:jc w:val="both"/>
      </w:pPr>
      <w:r>
        <w:rPr>
          <w:rFonts w:ascii="Arial" w:cs="Arial" w:eastAsia="Arial" w:hAnsi="Arial"/>
          <w:sz w:val="24"/>
          <w:szCs w:val="24"/>
        </w:rPr>
        <w:t xml:space="preserve">б) по форме ПБ-1Н - информацию по остаткам средств в наличной иностранной валюте;</w:t>
      </w:r>
    </w:p>
    <w:p>
      <w:pPr>
        <w:spacing w:after="60"/>
        <w:ind w:firstLine="567"/>
        <w:jc w:val="both"/>
      </w:pPr>
      <w:r>
        <w:rPr>
          <w:rFonts w:ascii="Arial" w:cs="Arial" w:eastAsia="Arial" w:hAnsi="Arial"/>
          <w:sz w:val="24"/>
          <w:szCs w:val="24"/>
        </w:rPr>
        <w:t xml:space="preserve">в) по форме ПБ-1СИ - информацию по остаткам средств на счетах в национальной валюте и иностранной валюте клиентов-нерезидентов.</w:t>
      </w:r>
    </w:p>
    <w:p>
      <w:pPr>
        <w:spacing w:after="60"/>
        <w:ind w:firstLine="567"/>
        <w:jc w:val="both"/>
      </w:pPr>
      <w:r>
        <w:rPr>
          <w:rFonts w:ascii="Arial" w:cs="Arial" w:eastAsia="Arial" w:hAnsi="Arial"/>
          <w:sz w:val="24"/>
          <w:szCs w:val="24"/>
        </w:rPr>
        <w:t xml:space="preserve">Эти данные должны соответствовать данным по остаткам средств на начало и конец периода, отраженным в электронной форме отчета ПБ-1.</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xonjj2k8tj53z6p8xh82s">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2.4. Отчет по форме ПБ-2 должен содержать информацию по клиентам банка, имеющим банковские счета за пределами Кыргызской Республики. </w:t>
      </w:r>
      <w:r>
        <w:rPr>
          <w:rFonts w:ascii="Arial" w:cs="Arial" w:eastAsia="Arial" w:hAnsi="Arial"/>
          <w:sz w:val="24"/>
          <w:szCs w:val="24"/>
        </w:rPr>
        <w:t xml:space="preserve">Данная форма отчетности представляется в электронном формате, подписанная электронной подписью ответственного должностного лица.</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de5al6vpg6trw-l491zxs">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2.5. Отчетность по форме ПБ-1 представляется в Национальный банк ежемесячно, не позднее 15 числа месяца, следующего за отчетным периодом. Отчетность по форме ПБ-2 представляется в Национальный банк ежеквартально, не позднее 15 числа месяца, следующего за отчетным периодом. В случае выявления сотрудниками Национального банка ошибок в представленной отчетности, банки обязаны откорректировать ошибки и направить в Национальный банк исправленную отчетность в течение 3-х рабочих дней после уведомления о наличии ошибок.</w:t>
      </w:r>
    </w:p>
    <w:p>
      <w:pPr>
        <w:spacing w:after="60"/>
        <w:ind w:firstLine="567"/>
        <w:jc w:val="both"/>
      </w:pPr>
      <w:r>
        <w:rPr>
          <w:rFonts w:ascii="Arial" w:cs="Arial" w:eastAsia="Arial" w:hAnsi="Arial"/>
          <w:sz w:val="24"/>
          <w:szCs w:val="24"/>
        </w:rPr>
        <w:t xml:space="preserve">2.6. В случае непредоставления или несвоевременного и умышленно некорректного представления отчетности в отношении банков применяются меры воздействия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заполнения электронной формы отчетности</w:t>
      </w:r>
    </w:p>
    <w:p>
      <w:pPr>
        <w:spacing w:after="60"/>
        <w:ind w:firstLine="567"/>
        <w:jc w:val="both"/>
      </w:pPr>
      <w:r>
        <w:rPr>
          <w:rFonts w:ascii="Arial" w:cs="Arial" w:eastAsia="Arial" w:hAnsi="Arial"/>
          <w:sz w:val="24"/>
          <w:szCs w:val="24"/>
        </w:rPr>
        <w:t xml:space="preserve">3.1. Каждая операция классифицируется по банкам-корреспондентам, счету, валюте операции, дате операции, виду операции, стране партнера (контрагента) клиента банка, принадлежности к определенному сектору экономики, стране клиента, со счетом которого проводится операция. Вид операции, название страны, наименование валюты и сектор экономики представляются в закодированной форме. При кодировке информации необходимо использовать классификаторы кодов, указанные в </w:t>
      </w:r>
      <w:hyperlink w:history="1" r:id="rIdbk-gp9oxunsqm33acivb8">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Электронная форма отчета по форме ПБ-1 предоставляется в 14 полях, по следующей структуре: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Номер поля</w:t>
      </w:r>
      <w:r>
        <w:rPr>
          <w:rFonts w:ascii="Arial" w:cs="Arial" w:eastAsia="Arial" w:hAnsi="Arial"/>
          <w:sz w:val="24"/>
          <w:szCs w:val="24"/>
        </w:rPr>
        <w:t xml:space="preserve">	</w:t>
      </w:r>
      <w:r>
        <w:rPr>
          <w:rFonts w:ascii="Arial" w:cs="Arial" w:eastAsia="Arial" w:hAnsi="Arial"/>
          <w:sz w:val="24"/>
          <w:szCs w:val="24"/>
        </w:rPr>
        <w:t xml:space="preserve">Содержание поля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Здесь указывается наименование банка-корреспондента за рубежом. При учете операций с наличной валютой в данном поле следует указать: "наличная иностранная валюта". При учете операций нерезидентов в Кыргызской Республике здесь следует указать: "счета клиентов-нерезидентов".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страны, где находится банк-корреспондент. Здесь используются коды стран, приведенные в кодификаторе стран Национального Статистического Комитета (НСК). При учете операций с наличной иностранной валютой либо операций нерезидентов в национальной валюте и иностранной валюте в Кыргызской Республике, здесь следует указать код Кыргызской Республики.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счета в соответствии с его классификацией ("1 - ностро", "2 - лоро", "3 - наличная иностранная валюта", "4 - счета клиентов-нерезидентов").</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Здесь указывается код валюты, в которой производится операция. При этом используются буквенные коды валют, приведенные в межгосударственном классификаторе валют.</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Здесь указывается дата отражения операции в бухгалтерской отчетности банка.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Здесь указывается код операции в соответствии с перечнем кодов операций, приведенном в приложении.</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При учете безналичных операций: по исходящим платежам здесь указывается код страны бенефициара (получателя), а по входящим платежам - код страны отправителя. Аналогичным образом, учитываются операции с наличной иностранной валютой. Например, при внесении наличных денег для перевода по различным системам (Western Union, Contact, Money Gram, Anelik и т.д.) здесь указывается код страны получателя, а при получении наличных денег по различным системам (Western Union, Contact, Money Gram, Anelik и т.д.) - код страны отправителя. Здесь используются коды стран, приведенные в кодификаторе стран НСК.</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сектора экономики, к которому принадлежит клиент банка в Кыргызской Республике, по счету которого в банке осуществляется операция. Здесь используются коды секторов экономики в соответствии с классификатором на основе руководства по платежному балансу, разработанному Международным Валютным Фондом (МВФ).</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Здесь указывается код страны, резидентом которой является клиент банка в Кыргызской Республике, со счетом которого в банке осуществляется операция. Здесь используются коды стран, приведенные в кодификаторе стран НСК.</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Движение средств на счетах отражается в строках кредита и дебета. Данные следует отражать следующим образом: для операций по ностро-счетам и операций с наличной иностранной валютой - поступление средств - по кредиту, по дебету - их списание, для операций по лоро-счетам и операций по счетам в национальной валюте и иностранной валюте клиентов-нерезидентов, наоборот: по кредиту - списание со счета, по дебету - поступление средств на счет. Сумма указывается в номинале, в единицах валют с двумя знаками после запятой.</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Дебет</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Здесь указывается эквивалентная сумма в сомах по курсу Национального банка по состоянию на дату отражения операции в бухгалтерской отчетности банка. Сумма указывается с двумя знаками после запятой.</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Здесь указывается эквивалентная сумма в долларах США по курсу Национального банка по состоянию на дату отражения операции в бухгалтерской отчетности банка. Сумма указывается с двумя знаками после запятой.</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Здесь указывается полная информация о назначении каждого перевода денежных средств. Информация в этой колонке не должна повторять названия операции по стандартной классификации платежного баланса, приведенной в приложении, а отображать содержание конкретной операции.</w:t>
      </w:r>
    </w:p>
    <w:p>
      <w:pPr>
        <w:spacing w:after="60"/>
        <w:ind w:firstLine="567"/>
        <w:jc w:val="both"/>
      </w:pPr>
      <w:r>
        <w:rPr>
          <w:rFonts w:ascii="Arial" w:cs="Arial" w:eastAsia="Arial" w:hAnsi="Arial"/>
          <w:sz w:val="24"/>
          <w:szCs w:val="24"/>
        </w:rPr>
        <w:t xml:space="preserve">3 2. Информация по каждому счету в отчете начинается с указания суммы остатка средств на счете на начало периода, которая отражается под кодом операции "000001" (остаток на начало периода). Затем отражается движение средств на счетах в течение отчетного периода. Информация по каждому счету заканчивается указанием суммы остатка средств на конец отчетного периода под кодом операции "999999" (остаток на конец периода). Сальдо на начало, и конец отчетного периода указывается в зависимости от характера счета: для ностро-счетов и наличной иностранной валюты сальдо на начало и конец периода отражается по кредиту, а для лоро-счетов и счетов в национальной валюте и иностранной валюте клиентов-нерезидентов, наоборот - по дебету.</w:t>
      </w:r>
    </w:p>
    <w:p>
      <w:pPr>
        <w:spacing w:after="60"/>
        <w:ind w:firstLine="567"/>
        <w:jc w:val="both"/>
      </w:pPr>
      <w:r>
        <w:rPr>
          <w:rFonts w:ascii="Arial" w:cs="Arial" w:eastAsia="Arial" w:hAnsi="Arial"/>
          <w:sz w:val="24"/>
          <w:szCs w:val="24"/>
        </w:rPr>
        <w:t xml:space="preserve">3.3. Движение средств по корреспондентским счетам отражается следующим образом: по ностро-счетам - по кредиту отражается поступление средств на счет, по - дебету их списание; по лоро-счетам наоборот - по кредиту - списание средств со счета, по дебету - поступление. Сальдо на начало и конец отчетного периода для ностро-счетов отражается по кредиту, а для лоро-счетов - по дебету.</w:t>
      </w:r>
    </w:p>
    <w:p>
      <w:pPr>
        <w:spacing w:after="60"/>
        <w:ind w:firstLine="567"/>
        <w:jc w:val="both"/>
      </w:pPr>
      <w:r>
        <w:rPr>
          <w:rFonts w:ascii="Arial" w:cs="Arial" w:eastAsia="Arial" w:hAnsi="Arial"/>
          <w:sz w:val="24"/>
          <w:szCs w:val="24"/>
        </w:rPr>
        <w:t xml:space="preserve">3.4. Отчет по операциям с наличной иностранной валютой имеет такую же форму, как и отчет по операциям в безналичных расчетах по корреспондентским счетам. В поле 1 (наименование партнера) записывается: "наличная иностранная валюта". По кредиту отражаются операции поступления наличной иностранной валюты, по дебету - расход наличной иностранной валюты. Сальдо на начало и конец отчетного периода отражается по кредиту.</w:t>
      </w:r>
    </w:p>
    <w:p>
      <w:pPr>
        <w:spacing w:after="60"/>
        <w:ind w:firstLine="567"/>
        <w:jc w:val="both"/>
      </w:pPr>
      <w:r>
        <w:rPr>
          <w:rFonts w:ascii="Arial" w:cs="Arial" w:eastAsia="Arial" w:hAnsi="Arial"/>
          <w:sz w:val="24"/>
          <w:szCs w:val="24"/>
        </w:rPr>
        <w:t xml:space="preserve">3.5. Отчет по операциям нерезидентов в Кыргызской Республике включает в себя движение денежных средств по счетам в национальной валюте и иностранной валюте нерезидентов из одного банка Кыргызской Республики в другой банк Кыргызской Республики или внутри одного кыргызского банка. Операции здесь отражаются так же, как и по корреспондентским счетам, в соответствии с классификацией операций. В поле 8 (код страны клиента) следует указать, резидентом какой страны является клиент-нерезидент банка, со счетом которого проводится операция. В поле 7 (код сектора) следует указать, к какому сектору принадлежит контрагент, с которым осуществляет операцию клиент-нерезидент банка. В поле 1 (наименование партнера) записывается: "счета клиентов-нерезидентов". По кредиту отображается списание средств со счетов нерезидентов, по дебету - поступление средств на счета нерезидентов. Сальдо на начало и конец отчетного периода записывается по дебету.</w:t>
      </w:r>
    </w:p>
    <w:p>
      <w:pPr>
        <w:spacing w:after="60"/>
        <w:ind w:firstLine="567"/>
        <w:jc w:val="both"/>
      </w:pPr>
      <w:r>
        <w:rPr>
          <w:rFonts w:ascii="Arial" w:cs="Arial" w:eastAsia="Arial" w:hAnsi="Arial"/>
          <w:sz w:val="24"/>
          <w:szCs w:val="24"/>
        </w:rPr>
        <w:t xml:space="preserve">3.6. Операции, содержание которых заключается в перемещении средств в иностранной валюте между банками-нерезидентами, а также между банками-резидентами, с изменением структуры активов в иностранной валюте банков-резидентов, рассматриваются, как нейтральные операции для платежного баланса и должны быть внесены в отчет по форме с кодами, предназначенными для отображения нейтральных операций. Как нейтральные отражаются следующие операции:</w:t>
      </w:r>
    </w:p>
    <w:p>
      <w:pPr>
        <w:spacing w:after="60"/>
        <w:ind w:firstLine="567"/>
        <w:jc w:val="both"/>
      </w:pPr>
      <w:r>
        <w:rPr>
          <w:rFonts w:ascii="Arial" w:cs="Arial" w:eastAsia="Arial" w:hAnsi="Arial"/>
          <w:sz w:val="24"/>
          <w:szCs w:val="24"/>
        </w:rPr>
        <w:t xml:space="preserve">а) обмен одной безналичной иностранной валюты на другую безналичную иностранную валюту (конвертация валют);</w:t>
      </w:r>
    </w:p>
    <w:p>
      <w:pPr>
        <w:spacing w:after="60"/>
        <w:ind w:firstLine="567"/>
        <w:jc w:val="both"/>
      </w:pPr>
      <w:r>
        <w:rPr>
          <w:rFonts w:ascii="Arial" w:cs="Arial" w:eastAsia="Arial" w:hAnsi="Arial"/>
          <w:sz w:val="24"/>
          <w:szCs w:val="24"/>
        </w:rPr>
        <w:t xml:space="preserve">б) перевод валюты из безналичной формы в ту же валюту в наличной форме (обналичивание валют);</w:t>
      </w:r>
    </w:p>
    <w:p>
      <w:pPr>
        <w:spacing w:after="60"/>
        <w:ind w:firstLine="567"/>
        <w:jc w:val="both"/>
      </w:pPr>
      <w:r>
        <w:rPr>
          <w:rFonts w:ascii="Arial" w:cs="Arial" w:eastAsia="Arial" w:hAnsi="Arial"/>
          <w:sz w:val="24"/>
          <w:szCs w:val="24"/>
        </w:rPr>
        <w:t xml:space="preserve">в) перевод валюты из наличной формы в ту же валюту в безналичной форме (обезналичивание валют);</w:t>
      </w:r>
    </w:p>
    <w:p>
      <w:pPr>
        <w:spacing w:after="60"/>
        <w:ind w:firstLine="567"/>
        <w:jc w:val="both"/>
      </w:pPr>
      <w:r>
        <w:rPr>
          <w:rFonts w:ascii="Arial" w:cs="Arial" w:eastAsia="Arial" w:hAnsi="Arial"/>
          <w:sz w:val="24"/>
          <w:szCs w:val="24"/>
        </w:rPr>
        <w:t xml:space="preserve">г) перемещение денежных средств с одного корреспондентского счета на другой корреспондентский счет (пополнение корреспондентского счета);</w:t>
      </w:r>
    </w:p>
    <w:p>
      <w:pPr>
        <w:spacing w:after="60"/>
        <w:ind w:firstLine="567"/>
        <w:jc w:val="both"/>
      </w:pPr>
      <w:r>
        <w:rPr>
          <w:rFonts w:ascii="Arial" w:cs="Arial" w:eastAsia="Arial" w:hAnsi="Arial"/>
          <w:sz w:val="24"/>
          <w:szCs w:val="24"/>
        </w:rPr>
        <w:t xml:space="preserve">д) поступление и последующее списание с корсчетов отчитывающегося банка средств других банков и юридических и физических лиц (посреднические операции).</w:t>
      </w:r>
    </w:p>
    <w:p>
      <w:pPr>
        <w:spacing w:after="60"/>
        <w:ind w:firstLine="567"/>
        <w:jc w:val="both"/>
      </w:pPr>
      <w:r>
        <w:rPr>
          <w:rFonts w:ascii="Arial" w:cs="Arial" w:eastAsia="Arial" w:hAnsi="Arial"/>
          <w:sz w:val="24"/>
          <w:szCs w:val="24"/>
        </w:rPr>
        <w:t xml:space="preserve">3.7. Суммы предоставленных и возвращенных (полученных и возвращенных) на протяжении отчетного периода "овернайтов" в отчете не отражаются. В отчете отражаются лишь проценты, полученные (или оплаченные) за предоставление (или получение)средств.</w:t>
      </w:r>
    </w:p>
    <w:p>
      <w:pPr>
        <w:spacing w:after="60"/>
        <w:ind w:firstLine="567"/>
        <w:jc w:val="both"/>
      </w:pPr>
      <w:r>
        <w:rPr>
          <w:rFonts w:ascii="Arial" w:cs="Arial" w:eastAsia="Arial" w:hAnsi="Arial"/>
          <w:sz w:val="24"/>
          <w:szCs w:val="24"/>
        </w:rPr>
        <w:t xml:space="preserve">3.8. В случаях, когда в течение отчетного периода невозможно проклассифицировать переводы денежных средств из-за рубежа по назначениям, применяются коды: "непроклассифицированная информация". Поступления денежных средств, информацию о назначении которых не удалось выяснить в течение текущего месяца, указываются под кодом - 100200.</w:t>
      </w:r>
    </w:p>
    <w:p>
      <w:pPr>
        <w:spacing w:after="60"/>
        <w:ind w:firstLine="567"/>
        <w:jc w:val="both"/>
      </w:pPr>
      <w:r>
        <w:rPr>
          <w:rFonts w:ascii="Arial" w:cs="Arial" w:eastAsia="Arial" w:hAnsi="Arial"/>
          <w:sz w:val="24"/>
          <w:szCs w:val="24"/>
        </w:rPr>
        <w:t xml:space="preserve">В течение следующего периода рекомендуется определить назначение средств, поступивших в предыдущем периоде, либо сделать предположение, исходя из имеющейся информации о клиенте, на счет которого поступили денежные средства.</w:t>
      </w:r>
    </w:p>
    <w:p>
      <w:pPr>
        <w:spacing w:after="60"/>
        <w:ind w:firstLine="567"/>
        <w:jc w:val="both"/>
      </w:pPr>
      <w:r>
        <w:rPr>
          <w:rFonts w:ascii="Arial" w:cs="Arial" w:eastAsia="Arial" w:hAnsi="Arial"/>
          <w:sz w:val="24"/>
          <w:szCs w:val="24"/>
        </w:rPr>
        <w:t xml:space="preserve">Переводы денежных средств, назначение которых было выяснено (либо сделано предположение) в течение текущего месяца, указываются под кодом - 100100, но в поле 13 (операция) следует подробно описать назначение данного платежа, поставив код в соответствии со стандартами платежного баланса (если поле заполняется на основе предположения сотрудников банка, то необходимо в скобках отметить - "предположение").</w:t>
      </w:r>
    </w:p>
    <w:p>
      <w:pPr>
        <w:spacing w:after="60"/>
        <w:ind w:firstLine="567"/>
        <w:jc w:val="both"/>
      </w:pPr>
      <w:r>
        <w:rPr>
          <w:rFonts w:ascii="Arial" w:cs="Arial" w:eastAsia="Arial" w:hAnsi="Arial"/>
          <w:sz w:val="24"/>
          <w:szCs w:val="24"/>
        </w:rPr>
        <w:t xml:space="preserve">3.9. Ошибочно зачисленные и отраженные денежные средства при их возврате отражаются со знаком "минус" в той же графе кредита или дебета, под теми же кодами, что и при поступлении.</w:t>
      </w:r>
    </w:p>
    <w:p>
      <w:pPr>
        <w:spacing w:after="60"/>
        <w:ind w:firstLine="567"/>
        <w:jc w:val="both"/>
      </w:pPr>
      <w:r>
        <w:rPr>
          <w:rFonts w:ascii="Arial" w:cs="Arial" w:eastAsia="Arial" w:hAnsi="Arial"/>
          <w:sz w:val="24"/>
          <w:szCs w:val="24"/>
        </w:rPr>
        <w:t xml:space="preserve">3.10. Банк кодирует операции в отчете по форме ПБ-1 на основе документов и полученной от клиентов информации, используя при этом перечень кодов.</w:t>
      </w:r>
    </w:p>
    <w:p>
      <w:pPr>
        <w:spacing w:after="60"/>
        <w:ind w:firstLine="567"/>
        <w:jc w:val="both"/>
      </w:pPr>
      <w:r>
        <w:rPr>
          <w:rFonts w:ascii="Arial" w:cs="Arial" w:eastAsia="Arial" w:hAnsi="Arial"/>
          <w:sz w:val="24"/>
          <w:szCs w:val="24"/>
        </w:rPr>
        <w:t xml:space="preserve">3.11. По исходящим платежам информацию об их назначении банки обязаны получать из платежных поручений/заявлений на перевод.</w:t>
      </w:r>
    </w:p>
    <w:p>
      <w:pPr>
        <w:spacing w:after="60"/>
        <w:ind w:firstLine="567"/>
        <w:jc w:val="both"/>
      </w:pPr>
      <w:r>
        <w:rPr>
          <w:rFonts w:ascii="Arial" w:cs="Arial" w:eastAsia="Arial" w:hAnsi="Arial"/>
          <w:sz w:val="24"/>
          <w:szCs w:val="24"/>
        </w:rPr>
        <w:t xml:space="preserve">3.12. По исходящим платежам в иностранной валюте (доллары США, евро, российские рубли, казахские тенге и т.д.) банки обязаны:</w:t>
      </w:r>
    </w:p>
    <w:p>
      <w:pPr>
        <w:spacing w:after="60"/>
        <w:ind w:firstLine="567"/>
        <w:jc w:val="both"/>
      </w:pPr>
      <w:r>
        <w:rPr>
          <w:rFonts w:ascii="Arial" w:cs="Arial" w:eastAsia="Arial" w:hAnsi="Arial"/>
          <w:sz w:val="24"/>
          <w:szCs w:val="24"/>
        </w:rPr>
        <w:t xml:space="preserve">1) требовать у клиентов при заполнении платежного документа подробное указание назначения платежа, а именно - за что производится платеж/перевод (например, "оплата за автомобиль", "предоплата за ГСМ", "за маркетинговые услуги", "за рекламу", "материальная помощь родственнику", "получение кредита", "продажа ценных бумаг" и т.д.). Таким образом, не допускаются такие назначения платежей как "согласно контракту", "согласно договору", "перевод", "частный перевод" ("private transfer") и т.п.;</w:t>
      </w:r>
    </w:p>
    <w:p>
      <w:pPr>
        <w:spacing w:after="60"/>
        <w:ind w:firstLine="567"/>
        <w:jc w:val="both"/>
      </w:pPr>
      <w:r>
        <w:rPr>
          <w:rFonts w:ascii="Arial" w:cs="Arial" w:eastAsia="Arial" w:hAnsi="Arial"/>
          <w:sz w:val="24"/>
          <w:szCs w:val="24"/>
        </w:rPr>
        <w:t xml:space="preserve">2) требовать у клиентов при заполнении платежного документа указание наименования бенефициара (наименование физического или юридического лица, которому поступают денежные средства, страна, город);</w:t>
      </w:r>
    </w:p>
    <w:p>
      <w:pPr>
        <w:spacing w:after="60"/>
        <w:ind w:firstLine="567"/>
        <w:jc w:val="both"/>
      </w:pPr>
      <w:r>
        <w:rPr>
          <w:rFonts w:ascii="Arial" w:cs="Arial" w:eastAsia="Arial" w:hAnsi="Arial"/>
          <w:sz w:val="24"/>
          <w:szCs w:val="24"/>
        </w:rPr>
        <w:t xml:space="preserve">3) банк должен отказать в акцепте платежного документа в случаях, если в поле "назначение платежа" платежного документа отсутствует детальное описание назначения платежа, а также когда в поле "бенефициар" отсутствует информация о наименовании бенефициара и стране бенефициара.</w:t>
      </w:r>
    </w:p>
    <w:p>
      <w:pPr>
        <w:spacing w:after="60"/>
        <w:ind w:firstLine="567"/>
        <w:jc w:val="both"/>
      </w:pPr>
      <w:r>
        <w:rPr>
          <w:rFonts w:ascii="Arial" w:cs="Arial" w:eastAsia="Arial" w:hAnsi="Arial"/>
          <w:sz w:val="24"/>
          <w:szCs w:val="24"/>
        </w:rPr>
        <w:t xml:space="preserve">3.13. По входящим платежам в иностранной валюте (доллары США, евро, российские рубли, казахские тенге и т.д.) банкам рекомендуется заключить договор о предоставлении платежных документов с обязательно заполненной строкой "назначение платежа" со всеми банками-корреспондентами;</w:t>
      </w:r>
    </w:p>
    <w:p>
      <w:pPr>
        <w:spacing w:after="60"/>
        <w:ind w:firstLine="567"/>
        <w:jc w:val="both"/>
      </w:pPr>
      <w:r>
        <w:rPr>
          <w:rFonts w:ascii="Arial" w:cs="Arial" w:eastAsia="Arial" w:hAnsi="Arial"/>
          <w:sz w:val="24"/>
          <w:szCs w:val="24"/>
        </w:rPr>
        <w:t xml:space="preserve">3.14. В целях контроля и проверки правильности отражения информации в данной отчетности работники Национального банка, ответственные за сбор и обработку отчетности, могут принимать участие в проверках коммерческих банков.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3.15. Переводы денежных средств, не превышающие 500 долларов США, а также эквивалентные суммы в других валютах, могут быть объединены и отражены в отчетности одной записью, но только в том случае, если информация в полях 1 (наименование партнера), 2 (код страны нахождения партнера), 3 (наименование валюты), 5 (код операции), 6 (код страны плательщика/получателя платежа), 7 (код сектора), 8 (код страны клиента), 9, 10 (кредит/дебет) совпадает. В поле 13 (операция) в скобках указывается количество платежей, объединенных в одну запись. При объединении нескольких платежей в одну запись, в поле 4 (дата операции) указывается дата последнего платежа, включенного в эту запись.</w:t>
      </w:r>
    </w:p>
    <w:p>
      <w:pPr>
        <w:spacing w:after="60"/>
        <w:ind w:firstLine="567"/>
        <w:jc w:val="both"/>
      </w:pPr>
      <w:r>
        <w:rPr>
          <w:rFonts w:ascii="Arial" w:cs="Arial" w:eastAsia="Arial" w:hAnsi="Arial"/>
          <w:sz w:val="24"/>
          <w:szCs w:val="24"/>
        </w:rPr>
        <w:t xml:space="preserve">3.16. </w:t>
      </w:r>
      <w:r>
        <w:rPr>
          <w:rFonts w:ascii="Arial" w:cs="Arial" w:eastAsia="Arial" w:hAnsi="Arial"/>
          <w:sz w:val="24"/>
          <w:szCs w:val="24"/>
        </w:rPr>
        <w:t xml:space="preserve">Формы отчетности, предоставляемые в электронном формате, подписанный электронной подписью ответственного должностного лица,  должны включать в себя следующее</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w:t>
      </w:r>
      <w:hyperlink w:history="1" r:id="rIdwuqwwd2iurbvql0lb19_q">
        <w:r>
          <w:rPr>
            <w:rFonts w:ascii="Arial" w:cs="Arial" w:eastAsia="Arial" w:hAnsi="Arial"/>
            <w:i/>
            <w:iCs/>
            <w:color w:val="1D4ED8"/>
            <w:sz w:val="24"/>
            <w:szCs w:val="24"/>
            <w:u w:val="single"/>
          </w:rPr>
          <w:t xml:space="preserve">от </w:t>
        </w:r>
        <w:r>
          <w:rPr>
            <w:rFonts w:ascii="Arial" w:cs="Arial" w:eastAsia="Arial" w:hAnsi="Arial"/>
            <w:i/>
            <w:iCs/>
            <w:color w:val="1D4ED8"/>
            <w:sz w:val="24"/>
            <w:szCs w:val="24"/>
            <w:u w:val="single"/>
          </w:rPr>
          <w:t xml:space="preserve">15 декабря 2021 года №2021-П-12/70-2-(НПА)</w:t>
        </w:r>
        <w:r>
          <w:rPr>
            <w:rFonts w:ascii="Arial" w:cs="Arial" w:eastAsia="Arial" w:hAnsi="Arial"/>
            <w:i/>
            <w:iCs/>
            <w:color w:val="1D4ED8"/>
            <w:sz w:val="24"/>
            <w:szCs w:val="24"/>
            <w:u w:val="single"/>
          </w:rPr>
          <w:t xml:space="preserve">)</w:t>
        </w:r>
      </w:hyperlink>
    </w:p>
    <w:p>
      <w:pPr>
        <w:spacing w:after="60"/>
        <w:ind w:firstLine="567"/>
        <w:jc w:val="both"/>
      </w:pPr>
      <w:r>
        <w:rPr>
          <w:rFonts w:ascii="Arial" w:cs="Arial" w:eastAsia="Arial" w:hAnsi="Arial"/>
          <w:sz w:val="24"/>
          <w:szCs w:val="24"/>
        </w:rPr>
        <w:t xml:space="preserve">3.16.1. Форма ПБ-1К - о состоянии корреспондентских счетов:</w:t>
      </w:r>
    </w:p>
    <w:p>
      <w:pPr>
        <w:spacing w:after="60"/>
        <w:ind w:firstLine="567"/>
        <w:jc w:val="both"/>
      </w:pPr>
      <w:r>
        <w:rPr>
          <w:rFonts w:ascii="Arial" w:cs="Arial" w:eastAsia="Arial" w:hAnsi="Arial"/>
          <w:sz w:val="24"/>
          <w:szCs w:val="24"/>
        </w:rPr>
        <w:t xml:space="preserve">Форма ПБ-1К</w:t>
      </w:r>
    </w:p>
    <w:p>
      <w:pPr>
        <w:spacing w:after="60"/>
        <w:ind w:firstLine="567"/>
        <w:jc w:val="both"/>
      </w:pPr>
      <w:r>
        <w:rPr>
          <w:rFonts w:ascii="Arial" w:cs="Arial" w:eastAsia="Arial" w:hAnsi="Arial"/>
          <w:sz w:val="24"/>
          <w:szCs w:val="24"/>
        </w:rPr>
        <w:t xml:space="preserve">в единицах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1407"/>
        <w:gridCol w:w="1962"/>
        <w:gridCol w:w="2213"/>
        <w:gridCol w:w="1659"/>
        <w:gridCol w:w="1622"/>
      </w:tblGrid>
      <w:tr>
        <w:tc>
          <w:tcPr>
            <w:tcW w:type="dxa" w:w="13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счета ("лоро", ностро")</w:t>
            </w:r>
          </w:p>
        </w:tc>
        <w:tc>
          <w:tcPr>
            <w:tcW w:type="dxa" w:w="14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Валюта, в которой открыт счет</w:t>
            </w:r>
          </w:p>
        </w:tc>
        <w:tc>
          <w:tcPr>
            <w:tcW w:type="dxa" w:w="19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банка-корреспондента</w:t>
            </w:r>
          </w:p>
        </w:tc>
        <w:tc>
          <w:tcPr>
            <w:tcW w:type="dxa" w:w="2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в которой находится банк-корреспондент</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начало отчетного периода</w:t>
            </w:r>
          </w:p>
        </w:tc>
        <w:tc>
          <w:tcPr>
            <w:tcW w:type="dxa" w:w="16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конец отчетного периода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указывается вид счета - "лоро" или "ностро";</w:t>
      </w:r>
    </w:p>
    <w:p>
      <w:pPr>
        <w:spacing w:after="60"/>
        <w:ind w:firstLine="567"/>
        <w:jc w:val="both"/>
      </w:pPr>
      <w:r>
        <w:rPr>
          <w:rFonts w:ascii="Arial" w:cs="Arial" w:eastAsia="Arial" w:hAnsi="Arial"/>
          <w:sz w:val="24"/>
          <w:szCs w:val="24"/>
        </w:rPr>
        <w:t xml:space="preserve">- в колонке 2 указывается код валюты, в которой открыт корсчет банка-нерезидента в Кыргызской Республике или кыргызского банка за рубежом. Код валюты указывается в соответствии с буквенным классификатором валют КВ (ИСО4217);</w:t>
      </w:r>
    </w:p>
    <w:p>
      <w:pPr>
        <w:spacing w:after="60"/>
        <w:ind w:firstLine="567"/>
        <w:jc w:val="both"/>
      </w:pPr>
      <w:r>
        <w:rPr>
          <w:rFonts w:ascii="Arial" w:cs="Arial" w:eastAsia="Arial" w:hAnsi="Arial"/>
          <w:sz w:val="24"/>
          <w:szCs w:val="24"/>
        </w:rPr>
        <w:t xml:space="preserve">- в колонке 3 указывается наименование байка за рубежом, с которым установлены корреспондентские отношения;</w:t>
      </w:r>
    </w:p>
    <w:p>
      <w:pPr>
        <w:spacing w:after="60"/>
        <w:ind w:firstLine="567"/>
        <w:jc w:val="both"/>
      </w:pPr>
      <w:r>
        <w:rPr>
          <w:rFonts w:ascii="Arial" w:cs="Arial" w:eastAsia="Arial" w:hAnsi="Arial"/>
          <w:sz w:val="24"/>
          <w:szCs w:val="24"/>
        </w:rPr>
        <w:t xml:space="preserve">- в колонке 4 указывается страна, в которой находится банк, с которым установлены корреспондентские отношения;</w:t>
      </w:r>
    </w:p>
    <w:p>
      <w:pPr>
        <w:spacing w:after="60"/>
        <w:ind w:firstLine="567"/>
        <w:jc w:val="both"/>
      </w:pPr>
      <w:r>
        <w:rPr>
          <w:rFonts w:ascii="Arial" w:cs="Arial" w:eastAsia="Arial" w:hAnsi="Arial"/>
          <w:sz w:val="24"/>
          <w:szCs w:val="24"/>
        </w:rPr>
        <w:t xml:space="preserve">- в колонке 5 указываются остатки денежных средств на начало отчетного периода;</w:t>
      </w:r>
    </w:p>
    <w:p>
      <w:pPr>
        <w:spacing w:after="60"/>
        <w:ind w:firstLine="567"/>
        <w:jc w:val="both"/>
      </w:pPr>
      <w:r>
        <w:rPr>
          <w:rFonts w:ascii="Arial" w:cs="Arial" w:eastAsia="Arial" w:hAnsi="Arial"/>
          <w:sz w:val="24"/>
          <w:szCs w:val="24"/>
        </w:rPr>
        <w:t xml:space="preserve">- в колонке 6 указываются остатки денежных средств на конец отчетного периода.</w:t>
      </w:r>
    </w:p>
    <w:p>
      <w:pPr>
        <w:spacing w:after="60"/>
        <w:ind w:firstLine="567"/>
        <w:jc w:val="both"/>
      </w:pPr>
      <w:r>
        <w:rPr>
          <w:rFonts w:ascii="Arial" w:cs="Arial" w:eastAsia="Arial" w:hAnsi="Arial"/>
          <w:sz w:val="24"/>
          <w:szCs w:val="24"/>
        </w:rPr>
        <w:t xml:space="preserve">3.16.2. Форма ПБ-1Н - отчет по наличной иностранной валюте:</w:t>
      </w:r>
    </w:p>
    <w:p>
      <w:pPr>
        <w:spacing w:after="60"/>
        <w:ind w:firstLine="567"/>
        <w:jc w:val="both"/>
      </w:pPr>
      <w:r>
        <w:rPr>
          <w:rFonts w:ascii="Arial" w:cs="Arial" w:eastAsia="Arial" w:hAnsi="Arial"/>
          <w:sz w:val="24"/>
          <w:szCs w:val="24"/>
        </w:rPr>
        <w:t xml:space="preserve">Форма ПБ-1Н</w:t>
      </w:r>
    </w:p>
    <w:p>
      <w:pPr>
        <w:spacing w:after="60"/>
        <w:ind w:firstLine="567"/>
        <w:jc w:val="both"/>
      </w:pPr>
      <w:r>
        <w:rPr>
          <w:rFonts w:ascii="Arial" w:cs="Arial" w:eastAsia="Arial" w:hAnsi="Arial"/>
          <w:sz w:val="24"/>
          <w:szCs w:val="24"/>
        </w:rPr>
        <w:t xml:space="preserve">в единицах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4366"/>
        <w:gridCol w:w="4216"/>
      </w:tblGrid>
      <w:tr>
        <w:tc>
          <w:tcPr>
            <w:tcW w:type="dxa" w:w="1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валюты</w:t>
            </w:r>
          </w:p>
        </w:tc>
        <w:tc>
          <w:tcPr>
            <w:tcW w:type="dxa" w:w="4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начало отчетного периода</w:t>
            </w:r>
          </w:p>
        </w:tc>
        <w:tc>
          <w:tcPr>
            <w:tcW w:type="dxa" w:w="42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конец отчетного периода</w:t>
            </w: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указывается вид наличной иностранной валюты, с которой банк проводил операции в течение отчетного периода;</w:t>
      </w:r>
    </w:p>
    <w:p>
      <w:pPr>
        <w:spacing w:after="60"/>
        <w:ind w:firstLine="567"/>
        <w:jc w:val="both"/>
      </w:pPr>
      <w:r>
        <w:rPr>
          <w:rFonts w:ascii="Arial" w:cs="Arial" w:eastAsia="Arial" w:hAnsi="Arial"/>
          <w:sz w:val="24"/>
          <w:szCs w:val="24"/>
        </w:rPr>
        <w:t xml:space="preserve">- в колонке 2 указываются остатки наличных денежных средств на начало отчетного периода;</w:t>
      </w:r>
    </w:p>
    <w:p>
      <w:pPr>
        <w:spacing w:after="60"/>
        <w:ind w:firstLine="567"/>
        <w:jc w:val="both"/>
      </w:pPr>
      <w:r>
        <w:rPr>
          <w:rFonts w:ascii="Arial" w:cs="Arial" w:eastAsia="Arial" w:hAnsi="Arial"/>
          <w:sz w:val="24"/>
          <w:szCs w:val="24"/>
        </w:rPr>
        <w:t xml:space="preserve">- в колонке 3 указываются остатки наличных денежных средств на конец отчетного периода.</w:t>
      </w:r>
    </w:p>
    <w:p>
      <w:pPr>
        <w:spacing w:after="60"/>
        <w:ind w:firstLine="567"/>
        <w:jc w:val="both"/>
      </w:pPr>
      <w:r>
        <w:rPr>
          <w:rFonts w:ascii="Arial" w:cs="Arial" w:eastAsia="Arial" w:hAnsi="Arial"/>
          <w:sz w:val="24"/>
          <w:szCs w:val="24"/>
        </w:rPr>
        <w:t xml:space="preserve">3.16.3. Форма ПБ-1СИ - отчет по счетам в национальной валюте и иностранной валюте клиентов-нерезидентов:</w:t>
      </w:r>
    </w:p>
    <w:p>
      <w:pPr>
        <w:spacing w:after="60"/>
        <w:ind w:firstLine="567"/>
        <w:jc w:val="both"/>
      </w:pPr>
      <w:r>
        <w:rPr>
          <w:rFonts w:ascii="Arial" w:cs="Arial" w:eastAsia="Arial" w:hAnsi="Arial"/>
          <w:sz w:val="24"/>
          <w:szCs w:val="24"/>
        </w:rPr>
        <w:t xml:space="preserve">Форма ПБ-1СИ</w:t>
      </w:r>
    </w:p>
    <w:p>
      <w:pPr>
        <w:spacing w:after="60"/>
        <w:ind w:firstLine="567"/>
        <w:jc w:val="both"/>
      </w:pPr>
      <w:r>
        <w:rPr>
          <w:rFonts w:ascii="Arial" w:cs="Arial" w:eastAsia="Arial" w:hAnsi="Arial"/>
          <w:sz w:val="24"/>
          <w:szCs w:val="24"/>
        </w:rPr>
        <w:t xml:space="preserve">в единицах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6"/>
        <w:gridCol w:w="4366"/>
        <w:gridCol w:w="4216"/>
      </w:tblGrid>
      <w:tr>
        <w:tc>
          <w:tcPr>
            <w:tcW w:type="dxa" w:w="1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валюты</w:t>
            </w:r>
          </w:p>
        </w:tc>
        <w:tc>
          <w:tcPr>
            <w:tcW w:type="dxa" w:w="43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начало отчетного периода</w:t>
            </w:r>
          </w:p>
        </w:tc>
        <w:tc>
          <w:tcPr>
            <w:tcW w:type="dxa" w:w="42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Остатки на конец отчетного периода</w:t>
            </w:r>
          </w:p>
        </w:tc>
      </w:tr>
      <w:tr>
        <w:tc>
          <w:tcPr>
            <w:tcW w:type="dxa" w:w="1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2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указываются остатки наличных денежных средств на начало отчетного периода;</w:t>
      </w:r>
    </w:p>
    <w:p>
      <w:pPr>
        <w:spacing w:after="60"/>
        <w:ind w:firstLine="567"/>
        <w:jc w:val="both"/>
      </w:pPr>
      <w:r>
        <w:rPr>
          <w:rFonts w:ascii="Arial" w:cs="Arial" w:eastAsia="Arial" w:hAnsi="Arial"/>
          <w:sz w:val="24"/>
          <w:szCs w:val="24"/>
        </w:rPr>
        <w:t xml:space="preserve">- в колонке 2 указываются остатки наличных денежных средств на конец отчетного периода.</w:t>
      </w:r>
    </w:p>
    <w:p>
      <w:pPr>
        <w:spacing w:after="60"/>
        <w:ind w:firstLine="567"/>
        <w:jc w:val="both"/>
      </w:pPr>
      <w:r>
        <w:rPr>
          <w:rFonts w:ascii="Arial" w:cs="Arial" w:eastAsia="Arial" w:hAnsi="Arial"/>
          <w:sz w:val="24"/>
          <w:szCs w:val="24"/>
        </w:rPr>
        <w:t xml:space="preserve">3.17. В соответствии со </w:t>
      </w:r>
      <w:r>
        <w:rPr>
          <w:rFonts w:ascii="Arial" w:cs="Arial" w:eastAsia="Arial" w:hAnsi="Arial"/>
          <w:sz w:val="24"/>
          <w:szCs w:val="24"/>
        </w:rPr>
        <w:t xml:space="preserve">статьей 39</w:t>
      </w:r>
      <w:hyperlink w:history="1" r:id="rIdrrdd3p-7_4uupev4mmu5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резиденты Кыргызском Республики обязаны регистрировать в Национальном банке счета и вклады, открываемые за пределами Кыргызской Республики. Список клиентов банка, имеющих счета за рубежом по форме ПБ-2 представляется по всем случаям, когда производится перевод за рубеж или из-за рубежа со счета на счет одного и того же физического или юридического лица. Отчет по форме ПБ-2 должен содержать информацию по клиентам, имеющим счета за рубежом, но сведения о которых не были отражены в предыдущих отчетах. Отчет по форме ПБ-2 представляется как на электронном </w:t>
      </w:r>
      <w:r>
        <w:rPr>
          <w:rFonts w:ascii="Arial" w:cs="Arial" w:eastAsia="Arial" w:hAnsi="Arial"/>
          <w:sz w:val="24"/>
          <w:szCs w:val="24"/>
        </w:rPr>
        <w:t xml:space="preserve">формате</w:t>
      </w:r>
      <w:r>
        <w:rPr>
          <w:rFonts w:ascii="Arial" w:cs="Arial" w:eastAsia="Arial" w:hAnsi="Arial"/>
          <w:sz w:val="24"/>
          <w:szCs w:val="24"/>
        </w:rPr>
        <w:t xml:space="preserve">, </w:t>
      </w:r>
      <w:r>
        <w:rPr>
          <w:rFonts w:ascii="Arial" w:cs="Arial" w:eastAsia="Arial" w:hAnsi="Arial"/>
          <w:sz w:val="24"/>
          <w:szCs w:val="24"/>
        </w:rPr>
        <w:t xml:space="preserve">подписанный электронной подписью ответственного должностного лица. </w:t>
      </w:r>
    </w:p>
    <w:p>
      <w:pPr>
        <w:spacing w:after="60"/>
        <w:ind w:firstLine="567"/>
        <w:jc w:val="both"/>
      </w:pPr>
      <w:r>
        <w:rPr>
          <w:rFonts w:ascii="Arial" w:cs="Arial" w:eastAsia="Arial" w:hAnsi="Arial"/>
          <w:sz w:val="24"/>
          <w:szCs w:val="24"/>
        </w:rPr>
        <w:t xml:space="preserve">Форма ПБ-2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0"/>
        <w:gridCol w:w="2286"/>
        <w:gridCol w:w="1474"/>
        <w:gridCol w:w="1981"/>
        <w:gridCol w:w="1348"/>
      </w:tblGrid>
      <w:tr>
        <w:tc>
          <w:tcPr>
            <w:tcW w:type="dxa" w:w="30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юридического лица или Ф.И.О. физического лица</w:t>
            </w:r>
          </w:p>
        </w:tc>
        <w:tc>
          <w:tcPr>
            <w:tcW w:type="dxa" w:w="22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Форма собственности юридического лица</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Адрес и номер телефона</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 за рубежом, в котором открыт счет</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где открыт счет</w:t>
            </w:r>
          </w:p>
        </w:tc>
      </w:tr>
      <w:tr>
        <w:tc>
          <w:tcPr>
            <w:tcW w:type="dxa" w:w="30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0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по заполнению:</w:t>
      </w:r>
    </w:p>
    <w:p>
      <w:pPr>
        <w:spacing w:after="60"/>
        <w:ind w:firstLine="567"/>
        <w:jc w:val="both"/>
      </w:pPr>
      <w:r>
        <w:rPr>
          <w:rFonts w:ascii="Arial" w:cs="Arial" w:eastAsia="Arial" w:hAnsi="Arial"/>
          <w:sz w:val="24"/>
          <w:szCs w:val="24"/>
        </w:rPr>
        <w:t xml:space="preserve">- в колонке 1 указывается наименование юридического лица или Ф.И.О. физического лица, у которого открыт счет за рубежом, и который переводит средства за рубеж или из-за рубежа со своего счета в банке зарубежом на свой счет в банке в Кыргызской Республике:</w:t>
      </w:r>
    </w:p>
    <w:p>
      <w:pPr>
        <w:spacing w:after="60"/>
        <w:ind w:firstLine="567"/>
        <w:jc w:val="both"/>
      </w:pPr>
      <w:r>
        <w:rPr>
          <w:rFonts w:ascii="Arial" w:cs="Arial" w:eastAsia="Arial" w:hAnsi="Arial"/>
          <w:sz w:val="24"/>
          <w:szCs w:val="24"/>
        </w:rPr>
        <w:t xml:space="preserve">- в колонке 2 указывается форма собственности в случае, если в банке зарубежом открыт счет юридического лица;</w:t>
      </w:r>
    </w:p>
    <w:p>
      <w:pPr>
        <w:spacing w:after="60"/>
        <w:ind w:firstLine="567"/>
        <w:jc w:val="both"/>
      </w:pPr>
      <w:r>
        <w:rPr>
          <w:rFonts w:ascii="Arial" w:cs="Arial" w:eastAsia="Arial" w:hAnsi="Arial"/>
          <w:sz w:val="24"/>
          <w:szCs w:val="24"/>
        </w:rPr>
        <w:t xml:space="preserve">- в колонке 3 указывается адрес и номер телефона юридического или физического лица, который имеет счет в банке зарубежом;</w:t>
      </w:r>
    </w:p>
    <w:p>
      <w:pPr>
        <w:spacing w:after="60"/>
        <w:ind w:firstLine="567"/>
        <w:jc w:val="both"/>
      </w:pPr>
      <w:r>
        <w:rPr>
          <w:rFonts w:ascii="Arial" w:cs="Arial" w:eastAsia="Arial" w:hAnsi="Arial"/>
          <w:sz w:val="24"/>
          <w:szCs w:val="24"/>
        </w:rPr>
        <w:t xml:space="preserve">- в колонке 4 указывается наименование банка зарубежом, в котором юридическое или физическое лицо имеет счет;</w:t>
      </w:r>
    </w:p>
    <w:p>
      <w:pPr>
        <w:spacing w:after="60"/>
        <w:ind w:firstLine="567"/>
        <w:jc w:val="both"/>
      </w:pPr>
      <w:r>
        <w:rPr>
          <w:rFonts w:ascii="Arial" w:cs="Arial" w:eastAsia="Arial" w:hAnsi="Arial"/>
          <w:sz w:val="24"/>
          <w:szCs w:val="24"/>
        </w:rPr>
        <w:t xml:space="preserve">- в колонке 5 указывается страна, в которой у юридического или физического лица открыт счет.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июня 2017 года № 2017-П-10/24-1</w:t>
      </w:r>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Инструкции об учете назначения платежей в банках, утвержденной постановлением Правления Национального банка
 от 25 ноября 2004 года N 30/5</w:t>
      </w:r>
    </w:p>
    <w:p>
      <w:pPr>
        <w:spacing w:after="400" w:before="400"/>
        <w:jc w:val="center"/>
      </w:pPr>
      <w:r>
        <w:rPr>
          <w:rFonts w:ascii="Arial" w:cs="Arial" w:eastAsia="Arial" w:hAnsi="Arial"/>
          <w:b/>
          <w:bCs/>
          <w:sz w:val="32"/>
          <w:szCs w:val="32"/>
        </w:rPr>
        <w:t xml:space="preserve">Справочник кодов для заполнения формы ПБ-1</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yjdbpharsgq73txthpjp1">
        <w:r>
          <w:rPr>
            <w:rFonts w:ascii="Arial" w:cs="Arial" w:eastAsia="Arial" w:hAnsi="Arial"/>
            <w:i/>
            <w:iCs/>
            <w:color w:val="1D4ED8"/>
            <w:sz w:val="24"/>
            <w:szCs w:val="24"/>
            <w:u w:val="single"/>
          </w:rPr>
          <w:t xml:space="preserve">23 декабря 2013 года № 52/10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Справочник кодов операций</w:t>
      </w:r>
    </w:p>
    <w:p>
      <w:pPr>
        <w:spacing w:after="120"/>
        <w:ind w:firstLine="567"/>
        <w:jc w:val="both"/>
      </w:pPr>
      <w:r>
        <w:rPr>
          <w:rFonts w:ascii="Arial" w:cs="Arial" w:eastAsia="Arial" w:hAnsi="Arial"/>
          <w:sz w:val="24"/>
          <w:szCs w:val="24"/>
        </w:rPr>
        <w:t xml:space="preserve">Коды в позиции "код операции" формы указывают на назначения платежей. Назначения платежей проклассифицированы в соответствии с основными статьями платежного баланса.</w:t>
      </w:r>
    </w:p>
    <w:p>
      <w:pPr>
        <w:tabs>
          <w:tab w:val="right" w:pos="10178"/>
        </w:tabs>
        <w:spacing w:after="120"/>
      </w:pPr>
      <w:r>
        <w:rPr>
          <w:rFonts w:ascii="Arial" w:cs="Arial" w:eastAsia="Arial" w:hAnsi="Arial"/>
          <w:sz w:val="24"/>
          <w:szCs w:val="24"/>
        </w:rPr>
        <w:t xml:space="preserve">Остаток на начало периода</w:t>
      </w:r>
      <w:r>
        <w:rPr>
          <w:rFonts w:ascii="Arial" w:cs="Arial" w:eastAsia="Arial" w:hAnsi="Arial"/>
          <w:sz w:val="24"/>
          <w:szCs w:val="24"/>
        </w:rPr>
        <w:t xml:space="preserve">	</w:t>
      </w:r>
      <w:r>
        <w:rPr>
          <w:rFonts w:ascii="Arial" w:cs="Arial" w:eastAsia="Arial" w:hAnsi="Arial"/>
          <w:sz w:val="24"/>
          <w:szCs w:val="24"/>
        </w:rPr>
        <w:t xml:space="preserve">000001</w:t>
      </w:r>
    </w:p>
    <w:p>
      <w:pPr>
        <w:tabs>
          <w:tab w:val="right" w:pos="10178"/>
        </w:tabs>
        <w:spacing w:after="120"/>
      </w:pPr>
      <w:r>
        <w:rPr>
          <w:rFonts w:ascii="Arial" w:cs="Arial" w:eastAsia="Arial" w:hAnsi="Arial"/>
          <w:sz w:val="24"/>
          <w:szCs w:val="24"/>
        </w:rPr>
        <w:t xml:space="preserve">Остаток на конец периода</w:t>
      </w:r>
      <w:r>
        <w:rPr>
          <w:rFonts w:ascii="Arial" w:cs="Arial" w:eastAsia="Arial" w:hAnsi="Arial"/>
          <w:sz w:val="24"/>
          <w:szCs w:val="24"/>
        </w:rPr>
        <w:t xml:space="preserve">	</w:t>
      </w:r>
      <w:r>
        <w:rPr>
          <w:rFonts w:ascii="Arial" w:cs="Arial" w:eastAsia="Arial" w:hAnsi="Arial"/>
          <w:sz w:val="24"/>
          <w:szCs w:val="24"/>
        </w:rPr>
        <w:t xml:space="preserve">999999</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78"/>
        <w:gridCol w:w="1649"/>
        <w:gridCol w:w="1651"/>
      </w:tblGrid>
      <w:tr>
        <w:tc>
          <w:tcPr>
            <w:tcW w:type="dxa" w:w="687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Товары</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Дебет</w:t>
            </w:r>
          </w:p>
        </w:tc>
      </w:tr>
      <w:tr>
        <w:tc>
          <w:tcPr>
            <w:vMerge w:val="continue"/>
            <w:tcBorders>
              <w:top w:val="single" w:color="CBBF9E" w:sz="4"/>
              <w:left w:val="single" w:color="CBBF9E" w:sz="4"/>
              <w:bottom w:val="single" w:color="CBBF9E" w:sz="4"/>
              <w:right w:val="single" w:color="CBBF9E" w:sz="4"/>
            </w:tcBorders>
          </w:tcP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Экспорт</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Импорт</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товары, оплата по факту за товары (включая оплату по аккредитиву), оплата за ранее поставленные товары, погашение задолженности по следующим товарам:</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Золото, немонетарное</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010011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010012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Хлопок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010021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010022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Нефть, нефтепродукты и аналогичные материалы</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010032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Природный газ</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010041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010042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Сахар, изделия из сахара</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010051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010052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Неорганические химические вещества</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010061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010062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Метал. лом и отходы черной металлургии</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010071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010072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Лампы накаливания</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010081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010082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Табак неготовый; табачные изделия</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010091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010092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Овощи и фрукты</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010111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010112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Строительные материалы из асбестоцемента</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010121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010122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Литое и прокатное стекло</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010131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010132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Медикаменты (включая ветеринарные)</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010141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010142</w:t>
            </w:r>
          </w:p>
        </w:tc>
      </w:tr>
      <w:tr>
        <w:tc>
          <w:tcPr>
            <w:tcW w:type="dxa" w:w="6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Прочие товары</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010151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010152</w:t>
            </w:r>
          </w:p>
        </w:tc>
      </w:tr>
    </w:tbl>
    <w:p>
      <w:pPr>
        <w:spacing w:after="6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МЕЖДУНАРОДНЫЕ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651"/>
        <w:gridCol w:w="651"/>
        <w:gridCol w:w="5319"/>
      </w:tblGrid>
      <w:tr>
        <w:tc>
          <w:tcPr>
            <w:tcW w:type="dxa" w:w="35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Операция</w:t>
            </w:r>
          </w:p>
        </w:tc>
        <w:tc>
          <w:tcPr>
            <w:tcW w:type="dxa" w:w="130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Код операции</w:t>
            </w:r>
          </w:p>
        </w:tc>
        <w:tc>
          <w:tcPr>
            <w:tcW w:type="dxa" w:w="5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vMerge w:val="continue"/>
            <w:tcBorders>
              <w:top w:val="single" w:color="CBBF9E" w:sz="4"/>
              <w:left w:val="single" w:color="CBBF9E" w:sz="4"/>
              <w:bottom w:val="single" w:color="CBBF9E" w:sz="4"/>
              <w:right w:val="single" w:color="CBBF9E" w:sz="4"/>
            </w:tcBorders>
          </w:tcPr>
          <w:p/>
        </w:tc>
        <w:tc>
          <w:tcPr>
            <w:tcW w:type="dxa" w:w="651"/>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Дебет</w:t>
            </w:r>
          </w:p>
        </w:tc>
        <w:tc>
          <w:tcPr>
            <w:tcW w:type="dxa" w:w="651"/>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4"/>
                <w:szCs w:val="24"/>
              </w:rPr>
              <w:t xml:space="preserve">Кредит</w:t>
            </w:r>
          </w:p>
        </w:tc>
        <w:tc>
          <w:tcPr>
            <w:vMerge w:val="continue"/>
            <w:tcBorders>
              <w:top w:val="single" w:color="CBBF9E" w:sz="4"/>
              <w:left w:val="none" w:color="auto" w:sz="0"/>
              <w:bottom w:val="single" w:color="CBBF9E" w:sz="4"/>
              <w:right w:val="single" w:color="CBBF9E" w:sz="4"/>
            </w:tcBorders>
          </w:tcP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6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Воздушный транспорт</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Воздушные грузовые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Транспортировка грузов воздушным транспортом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Воздушные пассажирские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пассажирского воздушного транспорта, включая оплату за провоз избыточного багажа, расходы пассажиров на питание, напитки и иные предметы, покупаемые на борту перевозчика. Здесь также учитывается аренда, фрахт и долгосрочная аренда воздушных судов с экипажем для перевозки пассажиров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воздушные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которые являются вспомогательными по отношению к воздушным транспортным услугам: погрузочно-разгрузочные работы, хранение и складирование груза в воздушных портах, упаковка и переупаковка, буксировка судов и т.д. Сюда также относится навигационная поддержка перевозчиков, авиадиспетчерская служба и услуги аэропортов (пассажирские услуги в аэропортах, включая услуги по уборке и очистке транспортного оборудования и эксплуатацию взлетно-посадочных полос). Услуги по техническому обслуживанию судов необходимо отнести к услугам по ремонту и техническому обслуживанию (см. операцию 020801/020802)</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Автомобильный транспорт</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Автомобильные грузовые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Транспортировка грузов автомобильным транспортом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Автомобильные пассажирские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020051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020052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пассажирского автомобильного транспорта и связанные с этим расходы, включая оплату за провоз избыточного багажа. Здесь также учитывается аренда, фрахт и долгосрочная аренда автотранспорта с экипажем для перевозки пассажиров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автомобильные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020061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020062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которые являются вспомогательными по отношению к автомобильным транспортным услугам: погрузочно-разгрузочные работы, хранение и складирование груза, упаковка и переупаковка, буксировка, услуги по экспедированию груза, уборка и очистка транспорта, спасательные операции и т.д. Сюда также относятся услуги автобусных станций и автомобильных стоянок, помимо технического обслуживания транспорта. Услуги по техническому обслуживанию транспорта необходимо отнести к услугам по ремонту и техническому обслуживанию (см. операцию 020801/020802)</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Железнодорожный транспорт</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грузовые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020071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020072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Транспортировка грузов железнодорожным транспортом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Железнодорожные пассажирские перевозки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020081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020082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пассажирского железнодорожного транспорта, включая оплату за провоз избыточного багажа, расходы пассажиров на питание, напитки и иные предметы, покупаемые на борту перевозчика. Здесь также учитывается аренда, фрахт и долгосрочная аренда железнодорожного транспорта с экипажем для перевозки пассажиров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железнодорожные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020091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020092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которые являются вспомогательными по отношению к железнодорожным транспортным услугам: погрузочно-разгрузочные работы, хранение и складирование груза, упаковка и переупаковка, буксировка, услуги по экспедированию груза и т.д. Сюда также относятся железнодорожные маневровые услуги. Услуги по обслуживанию и ремонту железнодорожного транспорта относятся к услугам по ремонту и техническому обслуживанию (см. операцию 020801/020802)</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виды транспорта</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Трубопроводный транспорт (транспортировка нефти и газа)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транспортировке с помощью трубопроводов нефти и природного газа</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Перевозки прочими видами транспорта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перевозки, осуществляемые морскими путями (морской транспорт) и международные перевозки по рекам, каналам и озерам, включая водные пути внутри одной страны (внутренний водный транспорт)</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грузовых транспортных агентств и прочие транспортные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грузовых транспортных агентств и прочие транспортные услуги, не перечисленные выше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Почтовые услуги и услуги курьерской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020142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Сбор, транспортировка, доставка писем, газет, периодических изданий и прочих печатных материалов, посылок и бандеролей, экспресс-доставка и доставка от двери до двери, услуги почтовых отделений – продажа почтовых марок, оформление денежных переводов, услуги телеграфа и т.д.)</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Поездки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Личные поездки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туристических фирм, гостиниц</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оказанные туристическими компаниями и гостиницами лицам (проживание, питание и прочие услуги), направляющимся за границу для иных целей, кроме деловых, а также медицинских и образовательных целей: отпуск, участие в развлекательных и культурных мероприятиях, посещение друзей и родственников, паломничество и т.д.</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образования</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Учеба за рубежом, семинары, стажировки и т.д. Здесь также учитываются расходы на продовольствие, местный транспорт, услуги здравоохранения, приобретаемые студентами-нерезидентами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здравоохранения</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Лечение в стационаре, услуги врачей и прочие медицинские услуги. Здесь также учитываются расходы на продовольствие, местный транспорт, услуги здравоохранения, приобретаемые лицами, находящимися в поездках с медицинскими целями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Деловые поездки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приграничными, сезонными и другими прибывающими на короткий срок работниками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и услуги, приобретенные для личного пользования приграничными, сезонными и другими прибывающими на короткий срок работниками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020251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020252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Товары и услуги, приобретенные для личного пользования лицами, основной целью поездки которых является деловая активность (служебные командировки, конференции, съезды, другие деловые встречи)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Телекоммуникационные, компьютерные и информационные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Телекоммуникационные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телефонной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телефонной связи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 трансляции программ</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трансляции радио и телевизионных программ, полученные/предоставленные РПО РМТР (республиканским производственным объединением радиолинейных магистралей телевидения и радиовещания)</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радио- и телевизионной кабельной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трансляции радио и телевизионных передач программ через кабельную связь</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мобильной связи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мобильной связи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Интернет</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020351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020352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магистральных сетей Интернета и услуги по предоставлению онлайнового доступа, включая обеспечение доступа к Интернету</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телекоммуникационные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020361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020362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телекоммуникационные услуги, не перечисленные выше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Компьютерные и информационные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Компьютерные и информационные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020371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020372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связанные с техническими средствами и программным обеспечением, услуги по обработке данных, услуги информационных агентств, услуги баз данных, порталы веб-поиска, подписка на газеты и журналы, услуги библиотек и архивов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за границей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Строительные работы, выполняемые предприятиями-резидентами, для нерезидентов; приобретение товаров и услуг предприятиями-резидентами КР на территории других стран, где они ведут строительные работы</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в КР</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020422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Строительные работы для резидентов, ведущиеся строительными предприятиями-нерезидентами; приобретение товаров и услуг в КР предприятиями-нерезидентами, ведущими строительные работы на территории КР</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в области страхования и пенсий</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страхования и пенсий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020501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020502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страхованию жизни и аннуитеты, страхование, кроме страхования жизни, перестрахование, страхование грузов, пенсии, стандартные гарантии; услуги, являющиеся вспомогательными по отношению к страхованию, пенсионным программам и программам стандартных гарантий</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Комиссионное вознаграждение за проведение банковских операций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Комиссионные за обслуживание счетов, выдачу кредитов и займов, прием депозитов, обслуживание кредитных карт, операции с иностранной валютой; оплата услуг, связанных с аккредитивами, банковскими акцептами и другими аналогичными инструментами и т.д.; консультативные услуги по финансовым вопросам</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Комиссии по денежным переводам, осуществляемым через системы переводов</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Комиссионные за переводы средств физических лиц, осуществляемые через системы переводов</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финансовому посредничеству, измеряемые косвенным образом (УФПИК)</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Разность (маржа) между фактически подлежащими выплате процентами по ссудам и займам и суммой, которая подлежала бы выплате, если бы использовалась базовая ставка; маржа между процентами, которые были бы начислены, если бы использовалась базовая ставка, и фактически начисленными процентами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Комиссионное вознаграждение по операциям с ценными бумагами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Брокерские услуги, размещение выпусков, андеррайтинг и погашение, комиссии за организацию контрактов по производным финансовым инструментам; консультативные услуги по операциям с ценными бумагами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финансовые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020642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финансовые услуги, не перечисленные выше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Плата за пользование интеллектуальной собственностью</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интеллектуальной собственностью</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020701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020702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Плата за пользование правами собственника (патенты, торговые марки, авторские права, права на промышленные процессы и дизайн, включая коммерческие тайны, коммерческие концессии); плата за лицензии на воспроизведение и/или распространение интеллектуальной собственности (авторские права на книги и рукописи, компьютерное программное обеспечение, кинематографические работы и звукозаписи)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по ремонту и техническому обслуживанию</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 ремонту и техническому обслуживанию</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020801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020802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техническому обслуживанию и ремонту автомобилей, воздушных судов, кораблей и другого транспортного оборудования. Сюда не относятся:
 – Ремонт и техническое обслуживание в связи со строительством (строительные услуги)
 – Техническое обслуживание и ремонт компьютеров (компьютерные услуги)
 – Чистка и уборка транспортного оборудования (транспорт)</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Профессиональные услуги и консультационные услуги в области управления</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020901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020902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Юридические услуги, ведение бухгалтерского учета, консультационные услуги в области управления, услуги по связям с общественностью; услуги рекламы, маркетинговые исследования и услуги по проведению опросов общественного мнения</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по обработке материальных ресурсов, принадлежащих другим сторонам</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 обработке материальных ресурсов, принадлежащих другим сторонам</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021011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021012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Оплата работ (обработка, сборка, маркировка, упаковка и т.д.), произведенных в отношении товаров резидентами одной страны для владельца товаров, который является резидентом другой страны . В данном случае, право собственности на товары не переходит от владельца товара предприятию, занимающемуся обработкой товара, а обрабатывающее предприятие взимает с владельца товара плату за произведенные работы</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 в области горнодобывающей и обрабатывающей промышленности, связанные с добычей, переработкой полезных ископаемых</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горнодобывающей промышленности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связанные с добычей полезных ископаемых</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в области обрабатывающей промышленности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в области обрабатывающей промышленности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и услуги электроснабжения</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021122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по регулированию и поддержанию частоты тока и транзит электроэнергии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Операционный лизинг</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 движимого имущества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Аренда и фрахт транспорта без экипажа; аренда оборудования без оператора, включая компьютерное и телекоммуникационное оборудование</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Аренда недвижимого имущества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021222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Аренда жилья и других зданий</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деловые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деловые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021301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021302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Услуги НИОКР (исследования и опытные разработки), архитектурные, инженерные и технические услуги; переработка отходов и борьба с загрязнением окружающей среды; прочие деловые услуги: услуги распределительных сетей (вода, пар, газ и другие нефтепродукты), которые предоставляются отдельно от услуг подачи, услуги по найму персонала, обеспечению безопасности и проведения расследований, услуги письменного и устного перевода, фотографические услуги, издательские услуги, уборка зданий и риэлтерские услуги и т.д.</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товары и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посольств, консульских представительств и других официальных представительств стран</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021411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021412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Сборы за визы и другие услуги, предоставляемые посольствами и консульствами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посольствами, консульствами и другими дипломатическими представительствами, личные расходы работников дипломатических миссий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021421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021422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 виды товаров и услуг (канцелярские принадлежности, транспортные средства, ремонт, электроэнергия и аренда помещений и т.д.), приобретаемых посольствами других государств в стране пребывания или у других стран (кроме страны их происхождения); товары и услуги, приобретаемые в стране пребывания дипломатами и их семьями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международными организациями, личные расходы международных организаций</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021431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021432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 виды товаров и услуг (канцелярские принадлежности, транспортные средства, ремонт, электроэнергия и аренда помещений и т.д.), приобретаемых международными организациями в стране пребывания или у других стран (кроме страны их происхождения); товары и услуги, приобретаемые в стране пребывания сотрудниками международных организаций и их семьями</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 военными базами других государств, личные расходы работников военных баз</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021441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021442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Все виды товаров и услуг (канцелярские принадлежности, транспортные средства, ремонт, электроэнергия и аренда помещений и т.д.), приобретаемых военными базами других государств в стране пребывания или у других стран (кроме страны их происхождения); товары и услуги, приобретаемые в стране пребывания военнослужащими и служащими военных баз</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частным лицам и услуги в сфере культуры и отдыха</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частным лицам и услуги в сфере культуры и отдыха</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021501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021502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Аудиовизуальные услуги (производство кинофильмов, радио- и телевизионных программ, музыкальных записей), услуги музеев и прочих видов деятельности в области культуры, спорта, азартных игр и отдыха</w:t>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услуги</w:t>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услуги</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021601</w:t>
            </w:r>
          </w:p>
        </w:tc>
        <w:tc>
          <w:tcPr>
            <w:tcW w:type="dxa" w:w="65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021602</w:t>
            </w:r>
          </w:p>
        </w:tc>
        <w:tc>
          <w:tcPr>
            <w:tcW w:type="dxa" w:w="53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Прочие услуги, не перечисленные выше</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76"/>
        <w:gridCol w:w="1651"/>
        <w:gridCol w:w="1651"/>
      </w:tblGrid>
      <w:tr>
        <w:tc>
          <w:tcPr>
            <w:tcW w:type="dxa" w:w="6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 полученный</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Доход, выплаченный</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инвестиций включают доходы, полученные по финансовым активам: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доходы от участия в капитале предприятий, прибыль отделений и дочерних предприятий</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030111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030112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полученным кредитам от прямых инвесторов</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030121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030122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доходы по акциям, облигациям и долгосрочным ценным бумагам, кроме доходов по государственным ценным бумагам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030131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030132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доходы по ценным бумагам, выпущенным правительством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030141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030142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корсчетам, депозитам и полученным/предоставленным кредитам, ссудам, кроме процентов по "овернайтам" и по полученным/ предоставленным под гарантию правительств кредитам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030151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030152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полученным/предоставленным "овернайтам"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030161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030162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полученным/предоставленным под гарантию правительств кредитам</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030171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030172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проданным/купленным ценным бумагам по соглашению РЕПО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030181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030182</w:t>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труда включает переводы заработной платы рабочих и служащих.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оплата труда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030201</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030202</w:t>
            </w:r>
          </w:p>
        </w:tc>
      </w:tr>
    </w:tbl>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ТРАНФЕРТЫ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4"/>
        <w:gridCol w:w="631"/>
        <w:gridCol w:w="631"/>
        <w:gridCol w:w="6222"/>
      </w:tblGrid>
      <w:tr>
        <w:tc>
          <w:tcPr>
            <w:tcW w:type="dxa" w:w="2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Личные трансферты</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Переводы между физическими лицами</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040102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Безвозмездные переводы между физическими лицами: переводы родственников, дарения, подарки, помощь и т.д.</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системы денежных переводов (СДП)</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нижеперечисленные системы денежных переводов (СДП)</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Western Union</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041101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041102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Western Union</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Anelik</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041201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041202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Anelik</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Money Gram</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041301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041302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Money Gram</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041401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041402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Контакт</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Мигом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Мигом</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Юнистрим</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041601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041602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Юнистрим</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Лидер</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041701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041702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Лидер</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Золотая Корона</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041801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041802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Золотая Корона</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Faster</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041901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041902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систему Faster</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СДП</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042002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физических лиц, осуществляемые через другие СДП</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по денежным переводам ГП "Кыргызпочтасы"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042101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042102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Переводы через СДП, осуществляемые ГП "Кыргызпочтасы"</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текущие трансферты</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и пошлины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040201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040202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налоги на доходы, имущество и прочие текущие налоги, включая штрафы и пени за просрочку уплаты налогов</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 безвозмездная финансовая помощь</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040301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040302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безвозмездная финансовая помощь, оказанная другим секторам, помимо физических лиц, не сопровождающаяся получением взамен других реальных и финансовых ресурсов</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на социальные нужды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физических лиц на программы социального страхования для формирования фондов на выплату социальных пособий: программы социального обеспечения, программы, связанные с трудовой деятельностью, включая пенсионные программы</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к выплате в рамках программ социального страхования и пенсионных программ (пенсии, пособия по безработице, пособия по болезни, жилищные пособия, стипендии)</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возмещения, кроме страхования жизни</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040601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040602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возмещения по случаю наступления страхового события</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операции в рамках международного сотрудничества</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040702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между органами государственного управления различных стран или между органами гос. управления и международными организациями: помощь при стихийных бедствиях, регулярные перечисления государств в международные организации (членские взносы) и т.д.</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текущие трансферты</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040801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040802</w:t>
            </w:r>
          </w:p>
        </w:tc>
        <w:tc>
          <w:tcPr>
            <w:tcW w:type="dxa" w:w="6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Членские взносы (за исключением взносов государственных органов в международные организации), подписки, пожертвования, штрафы и пени, выплата компенсаций и т.д.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6"/>
        <w:gridCol w:w="1612"/>
      </w:tblGrid>
      <w:tr>
        <w:tc>
          <w:tcPr>
            <w:tcW w:type="dxa" w:w="8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Прямые инвестиции</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инвестиции - вложение денежных и материальных средств, которое обеспечивает инвестору 10% и более участия в капитале предприятия. Большинство предприятий, являющихся объектами прямого инвестирования, представляют собой отделения, дочерние и совместные предприятия, весь акционерный капитал или часть акций которых принадлежит инвесторам.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целей учета прямых инвестиций в форме ПБ-1 необходимо руководствоваться следующим: все вложения денежных средств в собственный капитал предприятия не в форме ценных бумаг, а также кредиты, полученные от прямых инверторов учитывать как прямые инвестиции (случаи, когда точно можно определить, что вложения в акции составляют более 10% капитала предприятия следует отражать как прямые инвестиции).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инвестиции в Кыргызскую Республику. Выплаченные доходы от прямых инвестиций отражаются как доходы от участия в собственном капитале предприятий (030112, 030122).</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вложения денежных средств в собственный капитал предприятий, переводы долгосрочного капитала в отделения и дочерние предприятия (получение денежных средств отражается по кредиту, а возврат средств прямому инвестору отражается по кредиту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операции по привлечению заемных средств прямого инвестора их отделениями, дочерними компаниями и ассоциированными предприятиями (привлечение заемных средств отражается по кредиту, а погашение основной суммы полученного у прямого инвестора кредита отражается по кредиту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вложения средств предприятием прямого инвестирования в капитал прямого инвестора (вложения денежных средств отражаются по кредиту со знаком "минус", а возврат средств отражается по кредиту со знаком "плюс")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инвестиции за рубеж. Полученные доходы от прямых инвестиций отражаются как доходы от участия в собственном капитале предприятий (030111, 030121)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вложения денежных средств в собственный капитал предприятий, переводы долгосрочного капитала в отделения и дочерние предприятия (вложения денежных средств отражается по дебету, а возврат средств прямому инвестору отражается по дебету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операции по предоставлению кредитных ресурсов, которые имеют место между прямыми инвесторами и их отделениями, дочерними компаниями и ассоциированными предприятиями (предоставление кредитных ресурсов отражается по дебету, а погашение основной суммы полученного у прямого инвестора кредита отражается по дебету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вложение средств предприятием прямого инвестирования в капитал прямого инвестора (получение денежных средств отражается по дебету со знаком "минус", а возврат средств отражается по дебету со знаком "плюс")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050302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Портфельные инвестиции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Портфельные инвестиции - вложение денежных средств в ценные бумаги, обеспечивающие менее 10% участия в капитале и долговые обязательства в форме облигаций и других долгосрочных бумаг, а также инструменты денежного рынка (рынка краткосрочных капиталов) и производные финансовые инструменты.</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целей учета портфельных инвестиций в форме ПБ-1 необходимо руководствоваться следующим критерием: все вложения денежных средств в ценные бумаги учитывать как портфельные инвестиции (за исключением тех случаев, когда точно известно, что купленные/проданные акции составляют более 10% капитала предприятия).</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Пассивы (ценные бумаги, выпущенные в Кыргызской Республике). Продажа ценных бумаг отражается по кредиту, а обратная покупка - по кредиту со знаком "минус". Выплаченные нерезидентам доходы по ценным бумагам учитываются отдельно как доходы по ценным бумагам (030132, 030142).</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обеспечивающие участие в капитале - любые документы и записи, которые выступают в качестве требований на оставшееся имущество корпорированных предприятий (акции, паи, документы, подтверждающие участие в капитале)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060101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облигации, долговые обязательства, которые дают право на получение денежного дохода, сумма которого является фиксированной, либо меняется в соответствии с условиями контракта (привилегированные "не участвующие" акции, облигации)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денежного рынка, которые дают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 кроме ГКВ, ГКО и других ценных бумаг, выпущенных Правительством Кыргызской Республики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ГКВ, ГКО и другие ценные бумаги, выпущенные Правительством Кыргызской Республики - производные или вторичные финансовые инструменты, которые обеспечивают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или процентных свопах)</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060401 060501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(ценные бумаги, выпущенные за рубежом).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ценных бумаг отражается по дебету, а обратная продажа - по дебету со знаком "минус". Полученные от нерезидентов доходы по ценным бумагам учитываются отдельно как доходы по ценным бумагам (030131, 030141).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обеспечивающие участие в капитале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060102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облигации, долговые обязательства</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060202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ценные бумаги денежного рынка, кроме ГКВ, ГКО и других ценных бумаг, выпущенных правительствами иностранных государств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060302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ГКВ, ГКО и другие ценные бумаги, выпущенные правительствами иностранных государств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060402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производные или вторичные финансовые инструменты</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060502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Другие инвестиции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Пассивы (получение кредита). Получение кредита, ссуды, продажа ценных бумаг по соглашению РЕПО отражается по кредиту, а погашение основной суммы полученного кредита, ссуды, обратная покупка ценных бумаг по соглашению РЕПО отражается по кредиту со знаком "минус". Выплата процентов по полученным ранее кредитам, проданным ценным бумагам (по соглашению РЕПО) отражается как доходы (030152, 030172, 030182)</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получение долгосрочного кредита, ссуды (первоначальный срок погашения которых составляет 1 год и более)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070111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получение краткосрочного кредита, ссуды (первоначальный срок погашения которых составляет до одного года)</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070121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кредиты, полученные под гарантию правительства Кыргызской Республики</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соглашение РЕПО - продажа ценных бумаг по оговоренной цене с принятием обязательства о последующем выкупе этих же или аналогичных ценных бумаг по фиксированной цене в более поздний срок или в срок, устанавливаемый по усмотрению покупателя</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(предоставление кредита). Предоставление кредита, ссуды, покупка ценных бумаг по соглашению РЕПО отражается по дебету, а погашение заемщиком основной суммы предоставленного кредита, ссуды, обратная продажа ценных бумаг по соглашению РЕПО отражается по дебету со знаком "минус". Получение процентов по выданным ранее кредитам, купленным ценным бумагам (по соглашению РЕПО) отражается как доходы (030151, 030171, 030181)</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предоставление долгосрочного кредита, ссуды (первоначальный срок погашения которых составляет 1 год и более)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070112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предоставление краткосрочного кредита, ссуды (первоначальный срок погашения которых составляет до одного года)</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070122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соглашение РЕПО - покупка ценных бумаг по оговоренной цене с обязательством о последующей продаже этих же или аналогичных ценных бумаг по фиксированной цене в более поздний срок или в срок, устанавливаемый по усмотрению покупателя</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070302</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66"/>
        <w:gridCol w:w="1612"/>
      </w:tblGrid>
      <w:tr>
        <w:tc>
          <w:tcPr>
            <w:tcW w:type="dxa" w:w="85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Депозиты и наличная валюта</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со своего счета в другом банке на свой текущий счет в отчитывающемся коммерческом банке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080101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на депозит в отчитывающемся коммерческом банке. Перевод средств на депозит отражается по кредиту, а снятие средств с депозита - по кредиту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080201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поступление безналичной валюты (покупка безналичной инвалюты за сомы, поступление средств с сомовых счетов на валютные счета клиентов)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080301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поступление наличной инвалюты (поступление на текущие счета клиентов, а также покупка наличной инвалюты у населения и операции с наличной инвалютой между банком и его филиалом)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080401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поступление по пластиковым картам, дорожным и именным чекам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080501</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со своего счета в отчитывающемся коммерческом банке на свой текущий счет в другом банке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080102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денежных средств на депозит в другом банке.</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080202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Перевод средств на депозит отражается по дебету, а снятие средств с депозита - по дебету со знаком "минус"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расход безналичной валюты (продажа безналичной инвалюты за сомы, расход средств с валютных счетов на сомовые счета клиентов)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080302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расход наличной инвалюты (расход с текущих счетов клиентов, а также продажа наличной инвалюты населению и операции с наличной инвалютой между банком и его филиалом)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080402</w:t>
            </w:r>
          </w:p>
        </w:tc>
      </w:tr>
      <w:tr>
        <w:tc>
          <w:tcPr>
            <w:tcW w:type="dxa" w:w="85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снятие по пластиковым картам, дорожным и именным чекам</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080502</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2"/>
        <w:gridCol w:w="1606"/>
      </w:tblGrid>
      <w:tr>
        <w:tc>
          <w:tcPr>
            <w:tcW w:type="dxa" w:w="8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Нейтральные операции</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Движения по корсчетам кыргызских банков в зарубежных банках (ностро-счета и наличная валюта). Поступление средств отражается по кредиту, а списание по дебету.</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покупка/продажа валют - обмен одной безналичной валюты на другую безналичную валюту, приводящий к изменениям корсчета за рубежом</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090101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обналичивание валют - операция перевода валюты из безналичной формы в ту же валюту в 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090201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обезналичивание валют - операция перевода валюты из наличной формы в ту же валюту в безналичной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090301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пополнение корсчета - перевод денежных средств с одного корсчета на другой корсчет за рубежом</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090401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посреднические операции, приводящие к изменениям корсчета за рубежом</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090501</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Движения по корсчетам банков-нерезидентов в Кыргызской Республике (лоро-счета). Поступление средств отражается по дебету, а списание средств по кредиту.</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покупка/продажа валют - обмен одной безналичной валюты на другую безналичную валюту, приводящий к изменениям корсчета банков-нерезидентов</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090102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обналичивание валют - операция перевода валюты из безналичной формы в ту же валюту в 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090202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обезналичивание валют - операция перевода валюты из наличной формы в ту же валюту в безналичной форме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090302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пополнение корсчета перевод денежных средств с одного корсчета на другой корсчет в Кыргызской Республике банка-нерезидента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090402</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посреднические операции, приводящие к изменениям их корсчета банков-нерезидентов в Кыргызской Республике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090502</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2"/>
        <w:gridCol w:w="1606"/>
      </w:tblGrid>
      <w:tr>
        <w:tc>
          <w:tcPr>
            <w:tcW w:type="dxa" w:w="8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Непроклассифицированная информация</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операция предыдущего периода, проклассифицированная в отчетном периоде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100100</w:t>
            </w:r>
          </w:p>
        </w:tc>
      </w:tr>
      <w:tr>
        <w:tc>
          <w:tcPr>
            <w:tcW w:type="dxa" w:w="8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операция отчетного периода, не проклассифицированная в течение отчетного периода. Возврат не проклассифицированных платежей отражается со знаком "минус" в том же поле (кредита или дебета), что и при поступлении/отправлении</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100200</w:t>
            </w:r>
          </w:p>
        </w:tc>
      </w:tr>
    </w:tbl>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ayrrycpgzsz5hdsdzxmx">
      <w:r>
        <w:rPr>
          <w:rFonts w:ascii="Arial" w:cs="Arial" w:eastAsia="Arial" w:hAnsi="Arial"/>
          <w:color w:val="132D3F"/>
          <w:sz w:val="16"/>
          <w:szCs w:val="16"/>
          <w:u w:val="single"/>
        </w:rPr>
        <w:t xml:space="preserve">dalil.kg/document/800225</w:t>
      </w:r>
    </w:hyperlink>
  </w:p>
  <w:p>
    <w:pPr>
      <w:spacing w:after="0" w:before="40"/>
      <w:jc w:val="center"/>
    </w:pPr>
    <w:hyperlink w:history="1" r:id="rIdvikxvscdnkhjhqkouti7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kjwpoh_in2uycscr0k-o" Type="http://schemas.openxmlformats.org/officeDocument/2006/relationships/hyperlink" Target="https://dalil.kg/document/800224" TargetMode="External"/><Relationship Id="rId_aobxefr2n-irlk7phohb" Type="http://schemas.openxmlformats.org/officeDocument/2006/relationships/hyperlink" Target="https://dalil.kg/document/302917" TargetMode="External"/><Relationship Id="rIdzxb-gvgw8uqlchfjjqtrc" Type="http://schemas.openxmlformats.org/officeDocument/2006/relationships/hyperlink" Target="https://dalil.kg/document/800223" TargetMode="External"/><Relationship Id="rIdp3kymalp1wqpvbh8s7g5x" Type="http://schemas.openxmlformats.org/officeDocument/2006/relationships/hyperlink" Target="https://dalil.kg/document/880804" TargetMode="External"/><Relationship Id="rIdg7lnox9lgcrqarp0bzk5h" Type="http://schemas.openxmlformats.org/officeDocument/2006/relationships/hyperlink" Target="https://dalil.kg/document/800223" TargetMode="External"/><Relationship Id="rId5ggqu5zzibn0jafbfvthl" Type="http://schemas.openxmlformats.org/officeDocument/2006/relationships/hyperlink" Target="https://dalil.kg/document/880804" TargetMode="External"/><Relationship Id="rIdxonjj2k8tj53z6p8xh82s" Type="http://schemas.openxmlformats.org/officeDocument/2006/relationships/hyperlink" Target="https://dalil.kg/document/880804" TargetMode="External"/><Relationship Id="rIdde5al6vpg6trw-l491zxs" Type="http://schemas.openxmlformats.org/officeDocument/2006/relationships/hyperlink" Target="https://dalil.kg/document/880804" TargetMode="External"/><Relationship Id="rIdbk-gp9oxunsqm33acivb8" Type="http://schemas.openxmlformats.org/officeDocument/2006/relationships/hyperlink" Target="https://dalil.kg/document/800225#p1" TargetMode="External"/><Relationship Id="rIdwuqwwd2iurbvql0lb19_q" Type="http://schemas.openxmlformats.org/officeDocument/2006/relationships/hyperlink" Target="https://dalil.kg/document/880804" TargetMode="External"/><Relationship Id="rIdrrdd3p-7_4uupev4mmu5_" Type="http://schemas.openxmlformats.org/officeDocument/2006/relationships/hyperlink" Target="https://dalil.kg/document/111486" TargetMode="External"/><Relationship Id="rIdyjdbpharsgq73txthpjp1" Type="http://schemas.openxmlformats.org/officeDocument/2006/relationships/hyperlink" Target="https://dalil.kg/document/30291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ayrrycpgzsz5hdsdzxmx" Type="http://schemas.openxmlformats.org/officeDocument/2006/relationships/hyperlink" Target="https://dalil.kg/document/800225" TargetMode="External"/><Relationship Id="rIdvikxvscdnkhjhqkouti7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2026-09-23T22:50:39.186Z</dcterms:created>
  <dcterms:modified xsi:type="dcterms:W3CDTF">2026-09-23T22:50:39.186Z</dcterms:modified>
</cp:coreProperties>
</file>

<file path=docProps/custom.xml><?xml version="1.0" encoding="utf-8"?>
<Properties xmlns="http://schemas.openxmlformats.org/officeDocument/2006/custom-properties" xmlns:vt="http://schemas.openxmlformats.org/officeDocument/2006/docPropsVTypes"/>
</file>