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 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декабря 2018 года № 2018-П-15/53-12-(НПА)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«Об утверждении Минимальных требований по формированию кредитного портфеля, принимаемого в качестве залогового обеспечения»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20 и 68 </w:t>
      </w:r>
      <w:hyperlink w:history="1" r:id="rId9ewcnvh-uf7cdndsvhgs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Национальном банке Кыргызской Республики, банках и банковской деятельности» Правление Национального банка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прилагаемые изменения и дополнения в </w:t>
      </w:r>
      <w:hyperlink w:history="1" r:id="rIdrdeyxpdskugsd8l1gow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tdf2e3p4ikfc9zqctkb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обеспечения» от 27 декабря 2017 года №7 №2017-П-15/54-4-(НПА)» (прилагаются).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2. Юридическому управлению: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пятнадцати дней со дня официального опубликования. 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>
      <w:pPr>
        <w:spacing w:after="120"/>
        <w:ind w:firstLine="311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Т.Абдыгулов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Изменения и дополнения в постановление Правления Национального банка Кыргызской Республики «Об утверждении Минимальных требований по формированию кредитного портфеля, принимаемого в качестве залогового обеспечения» от 27 декабря 2017 года № 2017-П-15/54-4-(НПА)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b6n6abmzcbsje435f7jy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«Об утверждении </w:t>
      </w:r>
      <w:hyperlink w:history="1" r:id="rIdnvas2z0rxmwf5svpsj9f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требований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обеспечения» от 27 декабря 2017 года № 2017-П-15/54-4-(НПА)»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fi_1kmhsp23a0kcfgno3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Минимальных требованиях</w:t>
        </w:r>
      </w:hyperlink>
      <w:r>
        <w:rPr>
          <w:rFonts w:ascii="Arial" w:cs="Arial" w:eastAsia="Arial" w:hAnsi="Arial"/>
          <w:sz w:val="24"/>
          <w:szCs w:val="24"/>
        </w:rPr>
        <w:t xml:space="preserve"> по формированию кредитного портфеля, принимаемого в качестве залогового обеспечения, утвержденных вышеуказанным</w:t>
      </w:r>
      <w:hyperlink w:history="1" r:id="rIdajyqwd_enkajdhi0iodz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2 пункта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«Портфель кредитов – совокупность выданных банком кредитов/лизингов, соответствующих определенным характеристикам, установленных настоящими минимальными требованиями, права требования по которому могут быть приняты в качестве залога при предоставлении кредитов Национальным банком»;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дополнить абзацами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«Права требования по кредитам (траншам) в рамках кредитной линии могут выступать в качестве залогового обеспечения, при наличии идентифицируемого распределения залогового обеспечения отдельно по каждому кредиту (траншу) с учетом настоящих Минимальных требований.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кредитным ресурсам, предоставляемым в рамках Положения «О порядке проведения Национальным банком Кыргызской Республики кредитных аукционов для целей рефинансирования и поддержания ликвидности», утвержденного постановлением Правления Национального банка Кыргызской Республики от 27 ноября 2013 года N 45/13, залоговым обеспечением выступают кредиты, выданные в национальной валюте.»;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«8. Требования к максимальному объему залогового обеспечения в виде прав требования по кредитам/лизингам определяются Правлением Национального банка или Комитетом денежно-кредитного регулирования Национального банка, в соответствии с нормативными правовыми актами Национального банка.»;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«13. В случае установления банком и/или выявления Национальным банком несоответствия кредитов/лизингов характеристикам, указанным в настоящих Минимальных требованиях, банк обязан их заменить на кредиты/лизинги, соответствующие данным минимальным требованиям, либо исключить из Портфеля кредитов, предоставленных в качестве залогового обеспечения по кредитным ресурсам Национального банка.»;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15 дополнить подпунктами 6-7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«6) предмет лизинга;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гарантия ОАО «Гарантийный фонд».».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Главу 3 дополнить пунктами 15-1 и 18-1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«15-1. Залоговое обеспечение по кредитам, входящим в портфель кредитов, не может выступать залоговым обеспечением по другим кредитам.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18-1. При обеспечении кредита гарантией ОАО «Гарантийный фонд» должны быть соблюдены требования Положения «О классификации активов и соответствующих отчислениях в резерв на покрытие потенциальных потерь и убытков», утвержденного постановлением Правления Национального банка Кыргызской Республики от 21 июля 2004 года № 18/3.».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t58ogtruvfb7rzibbxg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dalil.kg/document/800242</w:t>
      </w:r>
    </w:hyperlink>
  </w:p>
  <w:p>
    <w:pPr>
      <w:spacing w:after="0" w:before="40"/>
      <w:jc w:val="center"/>
    </w:pPr>
    <w:hyperlink w:history="1" r:id="rIdefe5jwcul9q5gs1wffx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wcnvh-uf7cdndsvhgsn" Type="http://schemas.openxmlformats.org/officeDocument/2006/relationships/hyperlink" Target="https://dalil.kg/document/111486" TargetMode="External"/><Relationship Id="rIdrdeyxpdskugsd8l1gowzy" Type="http://schemas.openxmlformats.org/officeDocument/2006/relationships/hyperlink" Target="https://dalil.kg/document/800218" TargetMode="External"/><Relationship Id="rIdtdf2e3p4ikfc9zqctkbmu" Type="http://schemas.openxmlformats.org/officeDocument/2006/relationships/hyperlink" Target="https://dalil.kg/document/800219" TargetMode="External"/><Relationship Id="rIdb6n6abmzcbsje435f7jym" Type="http://schemas.openxmlformats.org/officeDocument/2006/relationships/hyperlink" Target="https://dalil.kg/document/800218" TargetMode="External"/><Relationship Id="rIdnvas2z0rxmwf5svpsj9fd" Type="http://schemas.openxmlformats.org/officeDocument/2006/relationships/hyperlink" Target="https://dalil.kg/document/800219" TargetMode="External"/><Relationship Id="rIdfi_1kmhsp23a0kcfgno34" Type="http://schemas.openxmlformats.org/officeDocument/2006/relationships/hyperlink" Target="https://dalil.kg/document/800219" TargetMode="External"/><Relationship Id="rIdajyqwd_enkajdhi0iodzv" Type="http://schemas.openxmlformats.org/officeDocument/2006/relationships/hyperlink" Target="https://dalil.kg/document/800218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t58ogtruvfb7rzibbxgt" Type="http://schemas.openxmlformats.org/officeDocument/2006/relationships/hyperlink" Target="https://dalil.kg/document/800242" TargetMode="External"/><Relationship Id="rIdefe5jwcul9q5gs1wffx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2026-09-25T05:07:47.097Z</dcterms:created>
  <dcterms:modified xsi:type="dcterms:W3CDTF">2026-09-25T05:07:47.097Z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