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32"/>
          <w:szCs w:val="32"/>
        </w:rPr>
        <w:t xml:space="preserve">НАЦИОНАЛЬНЫЙ БАНК КЫРГЫЗСКОЙ РЕПУБЛИКИ </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от 26 декабря 2018 года № 2018-П-12/58-10-(НПА)</w:t>
      </w:r>
    </w:p>
    <w:p>
      <w:pPr>
        <w:spacing w:after="120"/>
        <w:jc w:val="both"/>
      </w:pPr>
      <w:r>
        <w:rPr>
          <w:rFonts w:ascii="Arial" w:cs="Arial" w:eastAsia="Arial" w:hAnsi="Arial"/>
          <w:sz w:val="24"/>
          <w:szCs w:val="24"/>
        </w:rPr>
        <w:t xml:space="preserve">О внесении изменений и дополнений в некоторые нормативные правовые акты Национального банка Кыргызской Республики по вопросам взыскания залога и кредитования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 соответствии со статьями </w:t>
      </w:r>
      <w:r>
        <w:rPr>
          <w:rFonts w:ascii="Arial" w:cs="Arial" w:eastAsia="Arial" w:hAnsi="Arial"/>
          <w:sz w:val="24"/>
          <w:szCs w:val="24"/>
        </w:rPr>
        <w:t xml:space="preserve">20</w:t>
      </w:r>
      <w:r>
        <w:rPr>
          <w:rFonts w:ascii="Arial" w:cs="Arial" w:eastAsia="Arial" w:hAnsi="Arial"/>
          <w:sz w:val="24"/>
          <w:szCs w:val="24"/>
        </w:rPr>
        <w:t xml:space="preserve"> и </w:t>
      </w:r>
      <w:r>
        <w:rPr>
          <w:rFonts w:ascii="Arial" w:cs="Arial" w:eastAsia="Arial" w:hAnsi="Arial"/>
          <w:sz w:val="24"/>
          <w:szCs w:val="24"/>
        </w:rPr>
        <w:t xml:space="preserve">68</w:t>
      </w:r>
      <w:r>
        <w:rPr>
          <w:rFonts w:ascii="Arial" w:cs="Arial" w:eastAsia="Arial" w:hAnsi="Arial"/>
          <w:sz w:val="24"/>
          <w:szCs w:val="24"/>
        </w:rPr>
        <w:t xml:space="preserve"> </w:t>
      </w:r>
      <w:hyperlink w:history="1" r:id="rIduavyzn1yx4l7nlndl5tfg">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Национальном банке Кыргызской Республики, банках и банковской деятельности" Правление Национального банка Кыргызской Республики</w:t>
      </w:r>
    </w:p>
    <w:p>
      <w:pPr>
        <w:spacing w:after="60"/>
        <w:ind w:firstLine="567"/>
        <w:jc w:val="center"/>
      </w:pPr>
      <w:r>
        <w:rPr>
          <w:rFonts w:ascii="Arial" w:cs="Arial" w:eastAsia="Arial" w:hAnsi="Arial"/>
          <w:sz w:val="24"/>
          <w:szCs w:val="24"/>
        </w:rPr>
        <w:t xml:space="preserve">ПОСТАНОВЛЯЕТ:</w:t>
      </w:r>
    </w:p>
    <w:p>
      <w:pPr>
        <w:spacing w:after="60"/>
        <w:ind w:firstLine="567"/>
        <w:jc w:val="both"/>
      </w:pPr>
      <w:r>
        <w:rPr>
          <w:rFonts w:ascii="Arial" w:cs="Arial" w:eastAsia="Arial" w:hAnsi="Arial"/>
          <w:sz w:val="24"/>
          <w:szCs w:val="24"/>
        </w:rPr>
        <w:t xml:space="preserve">1. Внести </w:t>
      </w:r>
      <w:hyperlink w:history="1" r:id="rId0pwwwx6iwc4jai5esbmek">
        <w:r>
          <w:rPr>
            <w:rFonts w:ascii="Arial" w:cs="Arial" w:eastAsia="Arial" w:hAnsi="Arial"/>
            <w:color w:val="1D4ED8"/>
            <w:sz w:val="24"/>
            <w:szCs w:val="24"/>
            <w:u w:val="single"/>
          </w:rPr>
          <w:t xml:space="preserve">дополнения и изменения</w:t>
        </w:r>
      </w:hyperlink>
      <w:r>
        <w:rPr>
          <w:rFonts w:ascii="Arial" w:cs="Arial" w:eastAsia="Arial" w:hAnsi="Arial"/>
          <w:sz w:val="24"/>
          <w:szCs w:val="24"/>
        </w:rPr>
        <w:t xml:space="preserve"> в следующие постановления Правления Национального банка Кыргызской Республики (прилагаются):</w:t>
      </w:r>
    </w:p>
    <w:p>
      <w:pPr>
        <w:spacing w:after="60"/>
        <w:ind w:firstLine="567"/>
        <w:jc w:val="both"/>
      </w:pPr>
      <w:r>
        <w:rPr>
          <w:rFonts w:ascii="Arial" w:cs="Arial" w:eastAsia="Arial" w:hAnsi="Arial"/>
          <w:sz w:val="24"/>
          <w:szCs w:val="24"/>
        </w:rPr>
        <w:t xml:space="preserve">- "Об утверждении </w:t>
      </w:r>
      <w:hyperlink w:history="1" r:id="rIdoe0qqktrib-acbwhheduc">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классификации активов и соответствующих отчислениях в резерв на покрытие потенциальных потерь и убытков" </w:t>
      </w:r>
      <w:hyperlink w:history="1" r:id="rIddgz2qcvmlzupm_2mvh4jr">
        <w:r>
          <w:rPr>
            <w:rFonts w:ascii="Arial" w:cs="Arial" w:eastAsia="Arial" w:hAnsi="Arial"/>
            <w:color w:val="1D4ED8"/>
            <w:sz w:val="24"/>
            <w:szCs w:val="24"/>
            <w:u w:val="single"/>
          </w:rPr>
          <w:t xml:space="preserve">от 21 июля 2004 года № 18/3</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"Об утверждении "</w:t>
      </w:r>
      <w:hyperlink w:history="1" r:id="rIdd8spsz7vy6upxrwcujyso">
        <w:r>
          <w:rPr>
            <w:rFonts w:ascii="Arial" w:cs="Arial" w:eastAsia="Arial" w:hAnsi="Arial"/>
            <w:color w:val="1D4ED8"/>
            <w:sz w:val="24"/>
            <w:szCs w:val="24"/>
            <w:u w:val="single"/>
          </w:rPr>
          <w:t xml:space="preserve">Порядка</w:t>
        </w:r>
      </w:hyperlink>
      <w:r>
        <w:rPr>
          <w:rFonts w:ascii="Arial" w:cs="Arial" w:eastAsia="Arial" w:hAnsi="Arial"/>
          <w:sz w:val="24"/>
          <w:szCs w:val="24"/>
        </w:rPr>
        <w:t xml:space="preserve"> работы коммерческих банков и других финансово-кредитных организаций, лицензируемых и регулируемых Национальным банком Кыргызской Республики с залоговым имуществом" </w:t>
      </w:r>
      <w:hyperlink w:history="1" r:id="rId-4_dgo0zsilaff4lhj0ol">
        <w:r>
          <w:rPr>
            <w:rFonts w:ascii="Arial" w:cs="Arial" w:eastAsia="Arial" w:hAnsi="Arial"/>
            <w:color w:val="1D4ED8"/>
            <w:sz w:val="24"/>
            <w:szCs w:val="24"/>
            <w:u w:val="single"/>
          </w:rPr>
          <w:t xml:space="preserve">от 4 июля 2012 года № 28/7</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"Об утверждении </w:t>
      </w:r>
      <w:hyperlink w:history="1" r:id="rIdue-d3kapj9roy77v1w-ow">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"Об отдельных сделках/операциях коммерческих банков и микрофинансовых компаний Кыргызской Республики с недвижимым имуществом" </w:t>
      </w:r>
      <w:hyperlink w:history="1" r:id="rId8t-sdfxc6ykk9a8qpqnaz">
        <w:r>
          <w:rPr>
            <w:rFonts w:ascii="Arial" w:cs="Arial" w:eastAsia="Arial" w:hAnsi="Arial"/>
            <w:color w:val="1D4ED8"/>
            <w:sz w:val="24"/>
            <w:szCs w:val="24"/>
            <w:u w:val="single"/>
          </w:rPr>
          <w:t xml:space="preserve">от 29 августа 2012 года № 36/2</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"Об утверждении </w:t>
      </w:r>
      <w:hyperlink w:history="1" r:id="rIdt7ynbe0cjkdlihfwncau-">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определению стандартов достаточности (адекватности) капитала коммерческих банков Кыргызской Республики" </w:t>
      </w:r>
      <w:hyperlink w:history="1" r:id="rIdgm5xua1yvgvnvx1v5qstj">
        <w:r>
          <w:rPr>
            <w:rFonts w:ascii="Arial" w:cs="Arial" w:eastAsia="Arial" w:hAnsi="Arial"/>
            <w:color w:val="1D4ED8"/>
            <w:sz w:val="24"/>
            <w:szCs w:val="24"/>
            <w:u w:val="single"/>
          </w:rPr>
          <w:t xml:space="preserve">от 21 июля 2004 года № 18/2</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"О некоторых нормативных правовых актах Национального банка Кыргызской Республики" </w:t>
      </w:r>
      <w:hyperlink w:history="1" r:id="rIdsdgasqvxxrbgpuutjgzxv">
        <w:r>
          <w:rPr>
            <w:rFonts w:ascii="Arial" w:cs="Arial" w:eastAsia="Arial" w:hAnsi="Arial"/>
            <w:color w:val="1D4ED8"/>
            <w:sz w:val="24"/>
            <w:szCs w:val="24"/>
            <w:u w:val="single"/>
          </w:rPr>
          <w:t xml:space="preserve">от 30 июня 2010 года № 52/4</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Настоящее постановление вступает в силу по истечении пятнадцати дней со дня официального опубликования.</w:t>
      </w:r>
    </w:p>
    <w:p>
      <w:pPr>
        <w:spacing w:after="60"/>
        <w:ind w:firstLine="567"/>
        <w:jc w:val="both"/>
      </w:pPr>
      <w:r>
        <w:rPr>
          <w:rFonts w:ascii="Arial" w:cs="Arial" w:eastAsia="Arial" w:hAnsi="Arial"/>
          <w:sz w:val="24"/>
          <w:szCs w:val="24"/>
        </w:rPr>
        <w:t xml:space="preserve">3. Юридическому управлению:</w:t>
      </w:r>
    </w:p>
    <w:p>
      <w:pPr>
        <w:spacing w:after="60"/>
        <w:ind w:firstLine="567"/>
        <w:jc w:val="both"/>
      </w:pPr>
      <w:r>
        <w:rPr>
          <w:rFonts w:ascii="Arial" w:cs="Arial" w:eastAsia="Arial" w:hAnsi="Arial"/>
          <w:sz w:val="24"/>
          <w:szCs w:val="24"/>
        </w:rPr>
        <w:t xml:space="preserve">- опубликовать настоящее постановление на официальном интернет-сайте Национального банка Кыргызской Республики;</w:t>
      </w:r>
    </w:p>
    <w:p>
      <w:pPr>
        <w:spacing w:after="60"/>
        <w:ind w:firstLine="567"/>
        <w:jc w:val="both"/>
      </w:pPr>
      <w:r>
        <w:rPr>
          <w:rFonts w:ascii="Arial" w:cs="Arial" w:eastAsia="Arial" w:hAnsi="Arial"/>
          <w:sz w:val="24"/>
          <w:szCs w:val="24"/>
        </w:rPr>
        <w:t xml:space="preserve">-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w:t>
      </w:r>
    </w:p>
    <w:p>
      <w:pPr>
        <w:spacing w:after="60"/>
        <w:ind w:firstLine="567"/>
        <w:jc w:val="both"/>
      </w:pPr>
      <w:r>
        <w:rPr>
          <w:rFonts w:ascii="Arial" w:cs="Arial" w:eastAsia="Arial" w:hAnsi="Arial"/>
          <w:sz w:val="24"/>
          <w:szCs w:val="24"/>
        </w:rPr>
        <w:t xml:space="preserve">4. Управлению методологии надзора и лицензирования банков довести настоящее постановление до сведения ОЮЛ "Союз банков Кыргызстана", коммерческих банков, Государственного банка развития Кыргызской Республики, ОЮЛ "Ассоциация микрофинансовых организаций", микрофинансовых компаний и ОАО "Финансовая компания кредитных союзов", всех структурных подразделений, областных управлений, представительства Национального банка в Баткенской области.</w:t>
      </w:r>
    </w:p>
    <w:p>
      <w:pPr>
        <w:spacing w:after="60"/>
        <w:ind w:firstLine="567"/>
        <w:jc w:val="both"/>
      </w:pPr>
      <w:r>
        <w:rPr>
          <w:rFonts w:ascii="Arial" w:cs="Arial" w:eastAsia="Arial" w:hAnsi="Arial"/>
          <w:sz w:val="24"/>
          <w:szCs w:val="24"/>
        </w:rPr>
        <w:t xml:space="preserve">5. Контроль за исполнением настоящего постановления возложить на члена Правления, курирующего Управление методологии надзора и лицензирования банков.</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Правления Национального банка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Т.Абдыгулов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к постановлению Правления Национального банка Кыргызской Республики
 от 26 декабря 2018 года № 2018-П-12/58-10-(НПА)</w:t>
      </w:r>
    </w:p>
    <w:p>
      <w:pPr>
        <w:spacing w:after="400" w:before="400"/>
        <w:jc w:val="center"/>
      </w:pPr>
      <w:r>
        <w:rPr>
          <w:rFonts w:ascii="Arial" w:cs="Arial" w:eastAsia="Arial" w:hAnsi="Arial"/>
          <w:b/>
          <w:bCs/>
          <w:sz w:val="24"/>
          <w:szCs w:val="24"/>
        </w:rPr>
        <w:t xml:space="preserve">ИЗМЕНЕНИЯ И ДОПОЛНЕНИЯ</w:t>
      </w:r>
      <w:r>
        <w:rPr>
          <w:rFonts w:ascii="Arial" w:cs="Arial" w:eastAsia="Arial" w:hAnsi="Arial"/>
          <w:sz w:val="24"/>
          <w:szCs w:val="24"/>
        </w:rPr>
        <w:t xml:space="preserve"> </w:t>
      </w:r>
      <w:r>
        <w:rPr>
          <w:rFonts w:ascii="Arial" w:cs="Arial" w:eastAsia="Arial" w:hAnsi="Arial"/>
          <w:b/>
          <w:bCs/>
          <w:sz w:val="24"/>
          <w:szCs w:val="24"/>
        </w:rPr>
        <w:t xml:space="preserve">в некоторые нормативные правовые акты Национального банка Кыргызской Республики</w:t>
      </w:r>
    </w:p>
    <w:p>
      <w:pPr>
        <w:spacing w:after="60"/>
        <w:ind w:firstLine="567"/>
        <w:jc w:val="both"/>
      </w:pPr>
      <w:r>
        <w:rPr>
          <w:rFonts w:ascii="Arial" w:cs="Arial" w:eastAsia="Arial" w:hAnsi="Arial"/>
          <w:sz w:val="24"/>
          <w:szCs w:val="24"/>
        </w:rPr>
        <w:t xml:space="preserve">1. Внести в </w:t>
      </w:r>
      <w:hyperlink w:history="1" r:id="rIdtsgc7yn22jaa9ai9odwq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75_hpvhcqgoqwv4-bpau1">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классификации активов и соответствующих отчислениях в резерв на покрытие потенциальных потерь и убытков" от 21 июля 2004 года № 18/3" следующие изменения и дополнения:</w:t>
      </w:r>
    </w:p>
    <w:p>
      <w:pPr>
        <w:spacing w:after="60"/>
        <w:ind w:firstLine="567"/>
        <w:jc w:val="both"/>
      </w:pPr>
      <w:r>
        <w:rPr>
          <w:rFonts w:ascii="Arial" w:cs="Arial" w:eastAsia="Arial" w:hAnsi="Arial"/>
          <w:sz w:val="24"/>
          <w:szCs w:val="24"/>
        </w:rPr>
        <w:t xml:space="preserve">в </w:t>
      </w:r>
      <w:hyperlink w:history="1" r:id="rIdifqra5yvjnycjieftowcz">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классификации активов и соответствующих отчислениях в резерв на покрытие потенциальных потерь и убытков", утвержденном вышеуказанным </w:t>
      </w:r>
      <w:hyperlink w:history="1" r:id="rIdr-xhuww2c9us01innfyc_">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пункт 4.1.1. изложить в следующей редакции:</w:t>
      </w:r>
    </w:p>
    <w:p>
      <w:pPr>
        <w:spacing w:after="60"/>
        <w:ind w:firstLine="567"/>
        <w:jc w:val="both"/>
      </w:pPr>
      <w:r>
        <w:rPr>
          <w:rFonts w:ascii="Arial" w:cs="Arial" w:eastAsia="Arial" w:hAnsi="Arial"/>
          <w:sz w:val="24"/>
          <w:szCs w:val="24"/>
        </w:rPr>
        <w:t xml:space="preserve">"4.1.1. Нормальными называются те активы, которые обеспечены, как минимум, на 120% от суммы актива залогом (в виде заклада), состоящим из:</w:t>
      </w:r>
    </w:p>
    <w:p>
      <w:pPr>
        <w:spacing w:after="60"/>
        <w:ind w:firstLine="567"/>
        <w:jc w:val="both"/>
      </w:pPr>
      <w:r>
        <w:rPr>
          <w:rFonts w:ascii="Arial" w:cs="Arial" w:eastAsia="Arial" w:hAnsi="Arial"/>
          <w:sz w:val="24"/>
          <w:szCs w:val="24"/>
        </w:rPr>
        <w:t xml:space="preserve">- краткосрочных государственных казначейских векселей (далее - ГКВ) (если срок погашения ГКВ наступает до срока погашения актива, то банк должен в качестве залогового обеспечения принять денежные средства, полученные от погашения ГКВ, либо принять в качестве обеспечения дополнительно аналогичный (аналогичные) ГКВ;</w:t>
      </w:r>
    </w:p>
    <w:p>
      <w:pPr>
        <w:spacing w:after="60"/>
        <w:ind w:firstLine="567"/>
        <w:jc w:val="both"/>
      </w:pPr>
      <w:r>
        <w:rPr>
          <w:rFonts w:ascii="Arial" w:cs="Arial" w:eastAsia="Arial" w:hAnsi="Arial"/>
          <w:sz w:val="24"/>
          <w:szCs w:val="24"/>
        </w:rPr>
        <w:t xml:space="preserve">- средств, находящихся на отдельном депозитном счете в этом банке. Под отдельным депозитным счетом понимают обособленный депозитный счет физического или юридического лица. Расчетный счет клиентов и корреспондентский счет банка не могут использоваться в качестве обеспечения;</w:t>
      </w:r>
    </w:p>
    <w:p>
      <w:pPr>
        <w:spacing w:after="60"/>
        <w:ind w:firstLine="567"/>
        <w:jc w:val="both"/>
      </w:pPr>
      <w:r>
        <w:rPr>
          <w:rFonts w:ascii="Arial" w:cs="Arial" w:eastAsia="Arial" w:hAnsi="Arial"/>
          <w:sz w:val="24"/>
          <w:szCs w:val="24"/>
        </w:rPr>
        <w:t xml:space="preserve">- других ценных бумаг, включенных в листинги фондовых бирж Кыргызской Республики по наивысшей и следующей за наивысшей категорией листинга в соответствии с законодательством Кыргызской Республики (далее - другие ценные бумаги) при условии соблюдения минимальных требований, установленных </w:t>
      </w:r>
      <w:hyperlink w:history="1" r:id="rIdonfkcbua2byc3xxw6lnlg">
        <w:r>
          <w:rPr>
            <w:rFonts w:ascii="Arial" w:cs="Arial" w:eastAsia="Arial" w:hAnsi="Arial"/>
            <w:color w:val="1D4ED8"/>
            <w:sz w:val="24"/>
            <w:szCs w:val="24"/>
            <w:u w:val="single"/>
          </w:rPr>
          <w:t xml:space="preserve">Приложением 1</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Нормальными также называются те активы, которые обеспечены как минимум на 100% от суммы актива залогом (в виде заклада), состоящим из золота в виде аффинированных мерных слитков, эмитируемых Национальным банком.</w:t>
      </w:r>
    </w:p>
    <w:p>
      <w:pPr>
        <w:spacing w:after="60"/>
        <w:ind w:firstLine="567"/>
        <w:jc w:val="both"/>
      </w:pPr>
      <w:r>
        <w:rPr>
          <w:rFonts w:ascii="Arial" w:cs="Arial" w:eastAsia="Arial" w:hAnsi="Arial"/>
          <w:sz w:val="24"/>
          <w:szCs w:val="24"/>
        </w:rPr>
        <w:t xml:space="preserve">Примечание: Аффинированные мерные слитки - изготовленные и маркированные слитки из драгоценных металлов, эмитируемые (выпускаемые) Национальным банком или аффинажным предприятием, сертифицированным Лондонской ассоциацией рынка драгоценных металлов, массой 1000 грамм и менее, с содержанием химически чистого основного металла не менее 99,95-99,99 процентов лигатурной массы слитка для золота и не менее 99,90 процентов лигатурной массы слитка для серебра/платины.</w:t>
      </w:r>
    </w:p>
    <w:p>
      <w:pPr>
        <w:spacing w:after="60"/>
        <w:ind w:firstLine="567"/>
        <w:jc w:val="both"/>
      </w:pPr>
      <w:r>
        <w:rPr>
          <w:rFonts w:ascii="Arial" w:cs="Arial" w:eastAsia="Arial" w:hAnsi="Arial"/>
          <w:sz w:val="24"/>
          <w:szCs w:val="24"/>
        </w:rPr>
        <w:t xml:space="preserve">При этом должны выполняться следующие условия:</w:t>
      </w:r>
    </w:p>
    <w:p>
      <w:pPr>
        <w:spacing w:after="60"/>
        <w:ind w:firstLine="567"/>
        <w:jc w:val="both"/>
      </w:pPr>
      <w:r>
        <w:rPr>
          <w:rFonts w:ascii="Arial" w:cs="Arial" w:eastAsia="Arial" w:hAnsi="Arial"/>
          <w:sz w:val="24"/>
          <w:szCs w:val="24"/>
        </w:rPr>
        <w:t xml:space="preserve">1) в договоре о предоставлении актива и договоре о залоге должно быть указано, что данные денежные средства, ГКВ и другие ценные бумаги являются обеспечением выданных банком средств, и банк вправе в безакцептном порядке обратить на них взыскание в случае неисполнения клиентом своих обязательств;</w:t>
      </w:r>
    </w:p>
    <w:p>
      <w:pPr>
        <w:spacing w:after="60"/>
        <w:ind w:firstLine="567"/>
        <w:jc w:val="both"/>
      </w:pPr>
      <w:r>
        <w:rPr>
          <w:rFonts w:ascii="Arial" w:cs="Arial" w:eastAsia="Arial" w:hAnsi="Arial"/>
          <w:sz w:val="24"/>
          <w:szCs w:val="24"/>
        </w:rPr>
        <w:t xml:space="preserve">2) депозитный сертификат или депозитная книжка должны находиться на хранении в банке;</w:t>
      </w:r>
    </w:p>
    <w:p>
      <w:pPr>
        <w:spacing w:after="60"/>
        <w:ind w:firstLine="567"/>
        <w:jc w:val="both"/>
      </w:pPr>
      <w:r>
        <w:rPr>
          <w:rFonts w:ascii="Arial" w:cs="Arial" w:eastAsia="Arial" w:hAnsi="Arial"/>
          <w:sz w:val="24"/>
          <w:szCs w:val="24"/>
        </w:rPr>
        <w:t xml:space="preserve">3) в договоре о залоге должно быть предусмотрено недопущение дальнейшего перезалога данных денежных средств, ГКВ и других ценных бумаг;</w:t>
      </w:r>
    </w:p>
    <w:p>
      <w:pPr>
        <w:spacing w:after="60"/>
        <w:ind w:firstLine="567"/>
        <w:jc w:val="both"/>
      </w:pPr>
      <w:r>
        <w:rPr>
          <w:rFonts w:ascii="Arial" w:cs="Arial" w:eastAsia="Arial" w:hAnsi="Arial"/>
          <w:sz w:val="24"/>
          <w:szCs w:val="24"/>
        </w:rPr>
        <w:t xml:space="preserve">4) в любом случае в банке должны быть разработаны соответствующие процедуры и осуществляться внутренний контроль, обеспечивающие все процедуры, связанные с оформлением залога, и сохранность денежных средств, ГКВ и других ценных бумаг до окончания срока, предусмотренного договором;</w:t>
      </w:r>
    </w:p>
    <w:p>
      <w:pPr>
        <w:spacing w:after="60"/>
        <w:ind w:firstLine="567"/>
        <w:jc w:val="both"/>
      </w:pPr>
      <w:r>
        <w:rPr>
          <w:rFonts w:ascii="Arial" w:cs="Arial" w:eastAsia="Arial" w:hAnsi="Arial"/>
          <w:sz w:val="24"/>
          <w:szCs w:val="24"/>
        </w:rPr>
        <w:t xml:space="preserve">5) средства на депозите, обеспечивающие активы, должны быть в национальной валюте Кыргызской Республики, либо в валюте, свободно конвертируемой в кыргызские сомы, на основании общедоступных и достоверных котировок валют. При этом если депозит в той же валюте, что и кредит, то он должен покрывать сумму кредита не менее чем на 100%, а депозит в валюте, отличной от валюты кредита, - не менее, чем на 120% в сомовом эквиваленте;</w:t>
      </w:r>
    </w:p>
    <w:p>
      <w:pPr>
        <w:spacing w:after="60"/>
        <w:ind w:firstLine="567"/>
        <w:jc w:val="both"/>
      </w:pPr>
      <w:r>
        <w:rPr>
          <w:rFonts w:ascii="Arial" w:cs="Arial" w:eastAsia="Arial" w:hAnsi="Arial"/>
          <w:sz w:val="24"/>
          <w:szCs w:val="24"/>
        </w:rPr>
        <w:t xml:space="preserve">6) обязательное проведение еженедельной переоценки депозита, в случае, если в качестве обеспечения актива предоставлены денежные средства в валюте, отличной от валюты актива;</w:t>
      </w:r>
    </w:p>
    <w:p>
      <w:pPr>
        <w:spacing w:after="60"/>
        <w:ind w:firstLine="567"/>
        <w:jc w:val="both"/>
      </w:pPr>
      <w:r>
        <w:rPr>
          <w:rFonts w:ascii="Arial" w:cs="Arial" w:eastAsia="Arial" w:hAnsi="Arial"/>
          <w:sz w:val="24"/>
          <w:szCs w:val="24"/>
        </w:rPr>
        <w:t xml:space="preserve">7) если по результатам переоценки стоимость залога уменьшилась, то банк обязан немедленно потребовать увеличения его стоимости в соответствие с требованиями настоящего </w:t>
      </w:r>
      <w:hyperlink w:history="1" r:id="rIdgkzyruie6trcakucla-2a">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и обеспечить исполнение этого требования в течение 10 рабочих дней;</w:t>
      </w:r>
    </w:p>
    <w:p>
      <w:pPr>
        <w:spacing w:after="60"/>
        <w:ind w:firstLine="567"/>
        <w:jc w:val="both"/>
      </w:pPr>
      <w:r>
        <w:rPr>
          <w:rFonts w:ascii="Arial" w:cs="Arial" w:eastAsia="Arial" w:hAnsi="Arial"/>
          <w:sz w:val="24"/>
          <w:szCs w:val="24"/>
        </w:rPr>
        <w:t xml:space="preserve">8) в случае если требования, указанные в подпунктах 1-7, не выполнены, то такой актив будет считаться не полностью обеспеченным, и он должен быть переведен в другую категорию классификации.</w:t>
      </w:r>
    </w:p>
    <w:p>
      <w:pPr>
        <w:spacing w:after="60"/>
        <w:ind w:firstLine="567"/>
        <w:jc w:val="both"/>
      </w:pPr>
      <w:r>
        <w:rPr>
          <w:rFonts w:ascii="Arial" w:cs="Arial" w:eastAsia="Arial" w:hAnsi="Arial"/>
          <w:sz w:val="24"/>
          <w:szCs w:val="24"/>
        </w:rPr>
        <w:t xml:space="preserve">Банки могут классифицировать кредиты в национальной валюте как "нормальные активы" в случае, если они соответствуют требованиям, указанным в пункте 4.2. настоящего </w:t>
      </w:r>
      <w:hyperlink w:history="1" r:id="rIda9z_j0o1qlnfsnsa8cmtp">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Банки могут классифицировать вновь выданные кредиты в долларах США как "нормальные активы" в случае, если они соответствуют требованиям, указанным в пункте 4.2. настоящего</w:t>
      </w:r>
      <w:hyperlink w:history="1" r:id="rIdmyh6vwcsefjwtqzmif--k">
        <w:r>
          <w:rPr>
            <w:rFonts w:ascii="Arial" w:cs="Arial" w:eastAsia="Arial" w:hAnsi="Arial"/>
            <w:color w:val="1D4ED8"/>
            <w:sz w:val="24"/>
            <w:szCs w:val="24"/>
            <w:u w:val="single"/>
          </w:rPr>
          <w:t xml:space="preserve"> Положения</w:t>
        </w:r>
      </w:hyperlink>
      <w:r>
        <w:rPr>
          <w:rFonts w:ascii="Arial" w:cs="Arial" w:eastAsia="Arial" w:hAnsi="Arial"/>
          <w:sz w:val="24"/>
          <w:szCs w:val="24"/>
        </w:rPr>
        <w:t xml:space="preserve">, с формированием РППУ в размере от 0% до 2% вне зависимости от структуры доходов, в соответствии с внутренней политикой банка. При этом данные требования распространяются на льготные кредиты, выданные в рамках сотрудничества Правительства Кыргызской Республики с Правительством Российской Федерации (Российско-Кыргызский Фонд развития - далее Фонд развития), в том числе по кредитам за счет средств, привлеченных и гарантированных Фондом развития от иных зарубежных финансовых институтов, включая ранее выданные кредиты, погашение которых будет осуществляться за счет финансирования из средств Фонда развития и предусматривает изменение первоначальных условий кредитного договора. За счет средств Фонда развития не могут быть реструктуризированы кредиты банков, а также профинансированы ранее выданные кредиты, которые входят в категорию "классифицированных" активов.".</w:t>
      </w:r>
    </w:p>
    <w:p>
      <w:pPr>
        <w:spacing w:after="60"/>
        <w:ind w:firstLine="567"/>
        <w:jc w:val="both"/>
      </w:pPr>
      <w:r>
        <w:rPr>
          <w:rFonts w:ascii="Arial" w:cs="Arial" w:eastAsia="Arial" w:hAnsi="Arial"/>
          <w:sz w:val="24"/>
          <w:szCs w:val="24"/>
        </w:rPr>
        <w:t xml:space="preserve">2. Внести в </w:t>
      </w:r>
      <w:hyperlink w:history="1" r:id="rIdif51d1welja1weh74js3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u0kdndb6ufx_b2wl4xdx-">
        <w:r>
          <w:rPr>
            <w:rFonts w:ascii="Arial" w:cs="Arial" w:eastAsia="Arial" w:hAnsi="Arial"/>
            <w:color w:val="1D4ED8"/>
            <w:sz w:val="24"/>
            <w:szCs w:val="24"/>
            <w:u w:val="single"/>
          </w:rPr>
          <w:t xml:space="preserve">Порядка</w:t>
        </w:r>
      </w:hyperlink>
      <w:r>
        <w:rPr>
          <w:rFonts w:ascii="Arial" w:cs="Arial" w:eastAsia="Arial" w:hAnsi="Arial"/>
          <w:sz w:val="24"/>
          <w:szCs w:val="24"/>
        </w:rPr>
        <w:t xml:space="preserve"> работы коммерческих банков и других финансово-кредитных организаций, лицензируемых и регулируемых Национальным банком Кыргызской Республики с залоговым имуществом" от 4 июля 2012 года № 28/7" следующие изменения и дополнения:</w:t>
      </w:r>
    </w:p>
    <w:p>
      <w:pPr>
        <w:spacing w:after="60"/>
        <w:ind w:firstLine="567"/>
        <w:jc w:val="both"/>
      </w:pPr>
      <w:r>
        <w:rPr>
          <w:rFonts w:ascii="Arial" w:cs="Arial" w:eastAsia="Arial" w:hAnsi="Arial"/>
          <w:sz w:val="24"/>
          <w:szCs w:val="24"/>
        </w:rPr>
        <w:t xml:space="preserve">в </w:t>
      </w:r>
      <w:hyperlink w:history="1" r:id="rIdp_goo3im7lqwqbgs9r5pg">
        <w:r>
          <w:rPr>
            <w:rFonts w:ascii="Arial" w:cs="Arial" w:eastAsia="Arial" w:hAnsi="Arial"/>
            <w:color w:val="1D4ED8"/>
            <w:sz w:val="24"/>
            <w:szCs w:val="24"/>
            <w:u w:val="single"/>
          </w:rPr>
          <w:t xml:space="preserve">Порядке</w:t>
        </w:r>
      </w:hyperlink>
      <w:r>
        <w:rPr>
          <w:rFonts w:ascii="Arial" w:cs="Arial" w:eastAsia="Arial" w:hAnsi="Arial"/>
          <w:sz w:val="24"/>
          <w:szCs w:val="24"/>
        </w:rPr>
        <w:t xml:space="preserve"> работы коммерческих банков и других финансово-кредитных организаций, лицензируемых и регулируемых Национальным банком Кыргызской Республики с залоговым имуществом", утвержденном вышеуказанным </w:t>
      </w:r>
      <w:hyperlink w:history="1" r:id="rId5y0dfoo9y8jg6yyd8nxjw">
        <w:r>
          <w:rPr>
            <w:rFonts w:ascii="Arial" w:cs="Arial" w:eastAsia="Arial" w:hAnsi="Arial"/>
            <w:color w:val="1D4ED8"/>
            <w:sz w:val="24"/>
            <w:szCs w:val="24"/>
            <w:u w:val="single"/>
          </w:rPr>
          <w:t xml:space="preserve">постановлением:</w:t>
        </w:r>
      </w:hyperlink>
    </w:p>
    <w:p>
      <w:pPr>
        <w:spacing w:after="60"/>
        <w:ind w:firstLine="567"/>
        <w:jc w:val="both"/>
      </w:pPr>
      <w:r>
        <w:rPr>
          <w:rFonts w:ascii="Arial" w:cs="Arial" w:eastAsia="Arial" w:hAnsi="Arial"/>
          <w:sz w:val="24"/>
          <w:szCs w:val="24"/>
        </w:rPr>
        <w:t xml:space="preserve">- подпункт "б" пункта 14 изложить в следующей редакции:</w:t>
      </w:r>
    </w:p>
    <w:p>
      <w:pPr>
        <w:spacing w:after="60"/>
        <w:ind w:firstLine="567"/>
        <w:jc w:val="both"/>
      </w:pPr>
      <w:r>
        <w:rPr>
          <w:rFonts w:ascii="Arial" w:cs="Arial" w:eastAsia="Arial" w:hAnsi="Arial"/>
          <w:sz w:val="24"/>
          <w:szCs w:val="24"/>
        </w:rPr>
        <w:t xml:space="preserve">"б) обеспечение кредитов только товарами в обороте и драгоценными металлами должно быть не менее 150% от суммы кредита, за исключением золотых аффинированных мерных слитков, эмитируемых Национальным банком.";</w:t>
      </w:r>
    </w:p>
    <w:p>
      <w:pPr>
        <w:spacing w:after="60"/>
        <w:ind w:firstLine="567"/>
        <w:jc w:val="both"/>
      </w:pPr>
      <w:r>
        <w:rPr>
          <w:rFonts w:ascii="Arial" w:cs="Arial" w:eastAsia="Arial" w:hAnsi="Arial"/>
          <w:sz w:val="24"/>
          <w:szCs w:val="24"/>
        </w:rPr>
        <w:t xml:space="preserve">- пункт 23-1 изложить в следующей редакции:</w:t>
      </w:r>
    </w:p>
    <w:p>
      <w:pPr>
        <w:spacing w:after="60"/>
        <w:ind w:firstLine="567"/>
        <w:jc w:val="both"/>
      </w:pPr>
      <w:r>
        <w:rPr>
          <w:rFonts w:ascii="Arial" w:cs="Arial" w:eastAsia="Arial" w:hAnsi="Arial"/>
          <w:sz w:val="24"/>
          <w:szCs w:val="24"/>
        </w:rPr>
        <w:t xml:space="preserve">"23-1. Договор о залоге должен содержать норму о проведении оценки заложенного имущества на момент взыскания (при наступлении событий по взысканию имущества), которая определяется соглашением залогодержателя с залогодателем, а в отношении недвижимого имущества - определяется дополнительным соглашением залогодержателя с залогодателем с привлечением независимых специалистов-оценщиков, имеющих соответствующий сертификат согласно требованиям законодательства Кыргызской Республики.</w:t>
      </w:r>
    </w:p>
    <w:p>
      <w:pPr>
        <w:spacing w:after="60"/>
        <w:ind w:firstLine="567"/>
        <w:jc w:val="both"/>
      </w:pPr>
      <w:r>
        <w:rPr>
          <w:rFonts w:ascii="Arial" w:cs="Arial" w:eastAsia="Arial" w:hAnsi="Arial"/>
          <w:sz w:val="24"/>
          <w:szCs w:val="24"/>
        </w:rPr>
        <w:t xml:space="preserve">При этом, после принятия решения о проведении торгов по реализации недвижимости, принятой в счет погашения долга заемщика, но до начала проведения вышеуказанных торгов необходимо определить ее справедливую стоимость, в соответствии с требованиями Положения "Об отдельных сделках/операциях коммерческих банков и микрофинансовых компаний Кыргызской Республики с недвижимым имуществом, утвержденного постановлением Правления Национального банка Кыргызской Республики.";</w:t>
      </w:r>
    </w:p>
    <w:p>
      <w:pPr>
        <w:spacing w:after="60"/>
        <w:ind w:firstLine="567"/>
        <w:jc w:val="both"/>
      </w:pPr>
      <w:r>
        <w:rPr>
          <w:rFonts w:ascii="Arial" w:cs="Arial" w:eastAsia="Arial" w:hAnsi="Arial"/>
          <w:sz w:val="24"/>
          <w:szCs w:val="24"/>
        </w:rPr>
        <w:t xml:space="preserve">- дополнить пунктом 30-1 следующего содержания:</w:t>
      </w:r>
    </w:p>
    <w:p>
      <w:pPr>
        <w:spacing w:after="60"/>
        <w:ind w:firstLine="567"/>
        <w:jc w:val="both"/>
      </w:pPr>
      <w:r>
        <w:rPr>
          <w:rFonts w:ascii="Arial" w:cs="Arial" w:eastAsia="Arial" w:hAnsi="Arial"/>
          <w:sz w:val="24"/>
          <w:szCs w:val="24"/>
        </w:rPr>
        <w:t xml:space="preserve">"30-1. Если до даты продажи предмета залога на торгах или его приобретения залогодержателем, заемщик (залогодатель) предлагает залогодержателю кандидатуру покупателя, который может предложить цену, покрывающую сумму задолженности, то данное лицо имеет право преимущественной покупки. В этом случае залогодержатель не должен отказывать в реализации предмета залога. Соглашение, ограничивающее право, указанное в настоящем пункте, недействительно.";</w:t>
      </w:r>
    </w:p>
    <w:p>
      <w:pPr>
        <w:spacing w:after="60"/>
        <w:ind w:firstLine="567"/>
        <w:jc w:val="both"/>
      </w:pPr>
      <w:r>
        <w:rPr>
          <w:rFonts w:ascii="Arial" w:cs="Arial" w:eastAsia="Arial" w:hAnsi="Arial"/>
          <w:sz w:val="24"/>
          <w:szCs w:val="24"/>
        </w:rPr>
        <w:t xml:space="preserve">- дополнить пунктом 31-1 следующего содержания:</w:t>
      </w:r>
    </w:p>
    <w:p>
      <w:pPr>
        <w:spacing w:after="60"/>
        <w:ind w:firstLine="567"/>
        <w:jc w:val="both"/>
      </w:pPr>
      <w:r>
        <w:rPr>
          <w:rFonts w:ascii="Arial" w:cs="Arial" w:eastAsia="Arial" w:hAnsi="Arial"/>
          <w:sz w:val="24"/>
          <w:szCs w:val="24"/>
        </w:rPr>
        <w:t xml:space="preserve">"31-1. При получении извещения от залогодержателя заемщик (залогодатель) вправе:</w:t>
      </w:r>
    </w:p>
    <w:p>
      <w:pPr>
        <w:spacing w:after="60"/>
        <w:ind w:firstLine="567"/>
        <w:jc w:val="both"/>
      </w:pPr>
      <w:r>
        <w:rPr>
          <w:rFonts w:ascii="Arial" w:cs="Arial" w:eastAsia="Arial" w:hAnsi="Arial"/>
          <w:sz w:val="24"/>
          <w:szCs w:val="24"/>
        </w:rPr>
        <w:t xml:space="preserve">1) заключить соглашение с залогодержателем об удовлетворении его требований, обеспеченных залогом, во внесудебном порядке; или</w:t>
      </w:r>
    </w:p>
    <w:p>
      <w:pPr>
        <w:spacing w:after="60"/>
        <w:ind w:firstLine="567"/>
        <w:jc w:val="both"/>
      </w:pPr>
      <w:r>
        <w:rPr>
          <w:rFonts w:ascii="Arial" w:cs="Arial" w:eastAsia="Arial" w:hAnsi="Arial"/>
          <w:sz w:val="24"/>
          <w:szCs w:val="24"/>
        </w:rPr>
        <w:t xml:space="preserve">2) заключить нотариально удостоверенное соглашение с залогодержателем о добровольной передаче заложенного имущества в счет погашения долга после возникновения оснований для обращения взыскания на предмет залога; или</w:t>
      </w:r>
    </w:p>
    <w:p>
      <w:pPr>
        <w:spacing w:after="60"/>
        <w:ind w:firstLine="567"/>
        <w:jc w:val="both"/>
      </w:pPr>
      <w:r>
        <w:rPr>
          <w:rFonts w:ascii="Arial" w:cs="Arial" w:eastAsia="Arial" w:hAnsi="Arial"/>
          <w:sz w:val="24"/>
          <w:szCs w:val="24"/>
        </w:rPr>
        <w:t xml:space="preserve">3) обратиться в суд с заявлением о проведении процедуры обращения взыскания и реализации предмета залога в судебном порядке, если внесудебный порядок обращения взыскания имущества не предусмотрен договором о залоге и/или соглашением об удовлетворении требований, или третейским соглашением.".</w:t>
      </w:r>
    </w:p>
    <w:p>
      <w:pPr>
        <w:spacing w:after="60"/>
        <w:ind w:firstLine="567"/>
        <w:jc w:val="both"/>
      </w:pPr>
      <w:r>
        <w:rPr>
          <w:rFonts w:ascii="Arial" w:cs="Arial" w:eastAsia="Arial" w:hAnsi="Arial"/>
          <w:sz w:val="24"/>
          <w:szCs w:val="24"/>
        </w:rPr>
        <w:t xml:space="preserve">3. Внести в </w:t>
      </w:r>
      <w:hyperlink w:history="1" r:id="rIdcpoohjpbvamaiin85j0x_">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y0uslura5sbjd4ugqblys">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"Об отдельных сделках/операциях коммерческих банков и микрофинансовых компаний Кыргызской Республики с недвижимым имуществом" от 29 августа 2012 года № 36/2" следующие изменения и дополнения:</w:t>
      </w:r>
    </w:p>
    <w:p>
      <w:pPr>
        <w:spacing w:after="60"/>
        <w:ind w:firstLine="567"/>
        <w:jc w:val="both"/>
      </w:pPr>
      <w:r>
        <w:rPr>
          <w:rFonts w:ascii="Arial" w:cs="Arial" w:eastAsia="Arial" w:hAnsi="Arial"/>
          <w:sz w:val="24"/>
          <w:szCs w:val="24"/>
        </w:rPr>
        <w:t xml:space="preserve">в </w:t>
      </w:r>
      <w:hyperlink w:history="1" r:id="rId0katraqcw5biux_8_ls3f">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"Об отдельных сделках/операциях коммерческих банков и микрофинансовых компаний Кыргызской Республики с недвижимым имуществом", утвержденном вышеуказанным </w:t>
      </w:r>
      <w:hyperlink w:history="1" r:id="rId8l0b1zdlooukrq_-tvte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в пункте 2 после слов "имеющим право на привлечение депозитов" дополнить словами ", ОАО "Финансовая компания кредитных союзов";</w:t>
      </w:r>
    </w:p>
    <w:p>
      <w:pPr>
        <w:spacing w:after="60"/>
        <w:ind w:firstLine="567"/>
        <w:jc w:val="both"/>
      </w:pPr>
      <w:r>
        <w:rPr>
          <w:rFonts w:ascii="Arial" w:cs="Arial" w:eastAsia="Arial" w:hAnsi="Arial"/>
          <w:sz w:val="24"/>
          <w:szCs w:val="24"/>
        </w:rPr>
        <w:t xml:space="preserve">- пункт 6 изложить в следующей редакции:</w:t>
      </w:r>
    </w:p>
    <w:p>
      <w:pPr>
        <w:spacing w:after="60"/>
        <w:ind w:firstLine="567"/>
        <w:jc w:val="both"/>
      </w:pPr>
      <w:r>
        <w:rPr>
          <w:rFonts w:ascii="Arial" w:cs="Arial" w:eastAsia="Arial" w:hAnsi="Arial"/>
          <w:sz w:val="24"/>
          <w:szCs w:val="24"/>
        </w:rPr>
        <w:t xml:space="preserve">"6. Отсчет срока удержания прочего недвижимого имущества начинается с даты, когда:</w:t>
      </w:r>
    </w:p>
    <w:p>
      <w:pPr>
        <w:spacing w:after="60"/>
        <w:ind w:firstLine="567"/>
        <w:jc w:val="both"/>
      </w:pPr>
      <w:r>
        <w:rPr>
          <w:rFonts w:ascii="Arial" w:cs="Arial" w:eastAsia="Arial" w:hAnsi="Arial"/>
          <w:sz w:val="24"/>
          <w:szCs w:val="24"/>
        </w:rPr>
        <w:t xml:space="preserve">1) протокол о результатах торгов зарегистрирован в уполномоченном государственном органе, и у залогодержателя возникает право собственности на предмет залога, полученного в счет погашения ранее выданных кредитов/сделок, несущих в себе кредитный риск (в том числе на основании гражданско-правовых сделок).</w:t>
      </w:r>
    </w:p>
    <w:p>
      <w:pPr>
        <w:spacing w:after="60"/>
        <w:ind w:firstLine="567"/>
        <w:jc w:val="both"/>
      </w:pPr>
      <w:r>
        <w:rPr>
          <w:rFonts w:ascii="Arial" w:cs="Arial" w:eastAsia="Arial" w:hAnsi="Arial"/>
          <w:sz w:val="24"/>
          <w:szCs w:val="24"/>
        </w:rPr>
        <w:t xml:space="preserve">Соглашение об удовлетворении требований залогодержателя во внесудебном порядке не должно предусматривать условий, признающих данное соглашение правоустанавливающим документом;</w:t>
      </w:r>
    </w:p>
    <w:p>
      <w:pPr>
        <w:spacing w:after="60"/>
        <w:ind w:firstLine="567"/>
        <w:jc w:val="both"/>
      </w:pPr>
      <w:r>
        <w:rPr>
          <w:rFonts w:ascii="Arial" w:cs="Arial" w:eastAsia="Arial" w:hAnsi="Arial"/>
          <w:sz w:val="24"/>
          <w:szCs w:val="24"/>
        </w:rPr>
        <w:t xml:space="preserve">2) имущество принято на баланс банка по соглашению без проведения торгов, то отсчет срока начинается с даты, когда право собственности на недвижимое имущество, полученное банком в счет погашения ранее выданных кредитов/сделок, несущих в себе кредитный риск, зарегистрировано в уполномоченном регистрационном органе;</w:t>
      </w:r>
    </w:p>
    <w:p>
      <w:pPr>
        <w:spacing w:after="60"/>
        <w:ind w:firstLine="567"/>
        <w:jc w:val="both"/>
      </w:pPr>
      <w:r>
        <w:rPr>
          <w:rFonts w:ascii="Arial" w:cs="Arial" w:eastAsia="Arial" w:hAnsi="Arial"/>
          <w:sz w:val="24"/>
          <w:szCs w:val="24"/>
        </w:rPr>
        <w:t xml:space="preserve">3) Правление банка принимает решение о неиспользовании приобретенной для будущего расширения банка недвижимого имущества и/или прекращении использования помещения для банковской деятельности (например, в результате закрытия обособленного структурного подразделения, переезда и по другим причинам в соответствии с актом) и о необходимости его продажи. Данное решение должно быть одобрено Советом директоров.";</w:t>
      </w:r>
    </w:p>
    <w:p>
      <w:pPr>
        <w:spacing w:after="60"/>
        <w:ind w:firstLine="567"/>
        <w:jc w:val="both"/>
      </w:pPr>
      <w:r>
        <w:rPr>
          <w:rFonts w:ascii="Arial" w:cs="Arial" w:eastAsia="Arial" w:hAnsi="Arial"/>
          <w:sz w:val="24"/>
          <w:szCs w:val="24"/>
        </w:rPr>
        <w:t xml:space="preserve">- в подпункте "г" пункта 7 после слов "настоящим Положением" дополнить словами "и законодательством Кыргызской Республики;";</w:t>
      </w:r>
    </w:p>
    <w:p>
      <w:pPr>
        <w:spacing w:after="60"/>
        <w:ind w:firstLine="567"/>
        <w:jc w:val="both"/>
      </w:pPr>
      <w:r>
        <w:rPr>
          <w:rFonts w:ascii="Arial" w:cs="Arial" w:eastAsia="Arial" w:hAnsi="Arial"/>
          <w:sz w:val="24"/>
          <w:szCs w:val="24"/>
        </w:rPr>
        <w:t xml:space="preserve">- в пункте 21 слова "№ 18/3 от 21.07.2004 года" исключить;</w:t>
      </w:r>
    </w:p>
    <w:p>
      <w:pPr>
        <w:spacing w:after="60"/>
        <w:ind w:firstLine="567"/>
        <w:jc w:val="both"/>
      </w:pPr>
      <w:r>
        <w:rPr>
          <w:rFonts w:ascii="Arial" w:cs="Arial" w:eastAsia="Arial" w:hAnsi="Arial"/>
          <w:sz w:val="24"/>
          <w:szCs w:val="24"/>
        </w:rPr>
        <w:t xml:space="preserve">- пункт 22 изложить в следующей редакции:</w:t>
      </w:r>
    </w:p>
    <w:p>
      <w:pPr>
        <w:spacing w:after="60"/>
        <w:ind w:firstLine="567"/>
        <w:jc w:val="both"/>
      </w:pPr>
      <w:r>
        <w:rPr>
          <w:rFonts w:ascii="Arial" w:cs="Arial" w:eastAsia="Arial" w:hAnsi="Arial"/>
          <w:sz w:val="24"/>
          <w:szCs w:val="24"/>
        </w:rPr>
        <w:t xml:space="preserve">"22. В рамках взыскания заложенного имущества превышение суммы, по которой принимается недвижимое имущество на баланс банка, над задолженностью по кредиту, является обязательством банка по возврату излишков денежных средств залогодателю.</w:t>
      </w:r>
    </w:p>
    <w:p>
      <w:pPr>
        <w:spacing w:after="60"/>
        <w:ind w:firstLine="567"/>
        <w:jc w:val="both"/>
      </w:pPr>
      <w:r>
        <w:rPr>
          <w:rFonts w:ascii="Arial" w:cs="Arial" w:eastAsia="Arial" w:hAnsi="Arial"/>
          <w:sz w:val="24"/>
          <w:szCs w:val="24"/>
        </w:rPr>
        <w:t xml:space="preserve">В случае если Банк приобретает недвижимое имущество по результатам объявления первых публичных торгов несостоявшимися, в рамках судебного порядка взыскания, то банк возвращает залогодателю превышение стоимости покупки над задолженностью по кредиту в сроки, установленные законодательством Кыргызской Республики.</w:t>
      </w:r>
    </w:p>
    <w:p>
      <w:pPr>
        <w:spacing w:after="60"/>
        <w:ind w:firstLine="567"/>
        <w:jc w:val="both"/>
      </w:pPr>
      <w:r>
        <w:rPr>
          <w:rFonts w:ascii="Arial" w:cs="Arial" w:eastAsia="Arial" w:hAnsi="Arial"/>
          <w:sz w:val="24"/>
          <w:szCs w:val="24"/>
        </w:rPr>
        <w:t xml:space="preserve">В случае если по результатам объявления несостоявшимися повторных публичных торгов, банк оставляет за собой недвижимое имущество, то имущество принимается на баланс банка по стоимости не ниже минимальной цены, установленной в соответствии с законодательством Кыргызской Республики. Превышение цены при реализации имущества банком над задолженностью по кредиту является обязательством банка, которое подлежит возврату залогодателю.";</w:t>
      </w:r>
    </w:p>
    <w:p>
      <w:pPr>
        <w:spacing w:after="60"/>
        <w:ind w:firstLine="567"/>
        <w:jc w:val="both"/>
      </w:pPr>
      <w:r>
        <w:rPr>
          <w:rFonts w:ascii="Arial" w:cs="Arial" w:eastAsia="Arial" w:hAnsi="Arial"/>
          <w:sz w:val="24"/>
          <w:szCs w:val="24"/>
        </w:rPr>
        <w:t xml:space="preserve">- в пункте 27:</w:t>
      </w:r>
    </w:p>
    <w:p>
      <w:pPr>
        <w:spacing w:after="60"/>
        <w:ind w:firstLine="567"/>
        <w:jc w:val="both"/>
      </w:pPr>
      <w:r>
        <w:rPr>
          <w:rFonts w:ascii="Arial" w:cs="Arial" w:eastAsia="Arial" w:hAnsi="Arial"/>
          <w:sz w:val="24"/>
          <w:szCs w:val="24"/>
        </w:rPr>
        <w:t xml:space="preserve">абзац первый изложить в следующей редакции:</w:t>
      </w:r>
    </w:p>
    <w:p>
      <w:pPr>
        <w:spacing w:after="60"/>
        <w:ind w:firstLine="567"/>
        <w:jc w:val="both"/>
      </w:pPr>
      <w:r>
        <w:rPr>
          <w:rFonts w:ascii="Arial" w:cs="Arial" w:eastAsia="Arial" w:hAnsi="Arial"/>
          <w:sz w:val="24"/>
          <w:szCs w:val="24"/>
        </w:rPr>
        <w:t xml:space="preserve">"При принятии в рамках внесудебного порядка обращения взыскания на заложенное имущество или переводе недвижимого имущества в категорию "Прочая собственность", справедливая стоимость имущества должна быть подтверждена независимым профессиональным оценщиком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подпункт "а" изложить в следующей редакции:</w:t>
      </w:r>
    </w:p>
    <w:p>
      <w:pPr>
        <w:spacing w:after="60"/>
        <w:ind w:firstLine="567"/>
        <w:jc w:val="both"/>
      </w:pPr>
      <w:r>
        <w:rPr>
          <w:rFonts w:ascii="Arial" w:cs="Arial" w:eastAsia="Arial" w:hAnsi="Arial"/>
          <w:sz w:val="24"/>
          <w:szCs w:val="24"/>
        </w:rPr>
        <w:t xml:space="preserve">"а) стоимость имущества при рассмотрении заявки на кредит и до применения установленных коэффициентов не превышает 1000000 сом;";</w:t>
      </w:r>
    </w:p>
    <w:p>
      <w:pPr>
        <w:spacing w:after="60"/>
        <w:ind w:firstLine="567"/>
        <w:jc w:val="both"/>
      </w:pPr>
      <w:r>
        <w:rPr>
          <w:rFonts w:ascii="Arial" w:cs="Arial" w:eastAsia="Arial" w:hAnsi="Arial"/>
          <w:sz w:val="24"/>
          <w:szCs w:val="24"/>
        </w:rPr>
        <w:t xml:space="preserve">- в подпункте "а" пункта 31 цифры "25", "50" заменить на "15", "40" соответственно;</w:t>
      </w:r>
    </w:p>
    <w:p>
      <w:pPr>
        <w:spacing w:after="60"/>
        <w:ind w:firstLine="567"/>
        <w:jc w:val="both"/>
      </w:pPr>
      <w:r>
        <w:rPr>
          <w:rFonts w:ascii="Arial" w:cs="Arial" w:eastAsia="Arial" w:hAnsi="Arial"/>
          <w:sz w:val="24"/>
          <w:szCs w:val="24"/>
        </w:rPr>
        <w:t xml:space="preserve">- пункт 31-1 изложить в следующей редакции:</w:t>
      </w:r>
    </w:p>
    <w:p>
      <w:pPr>
        <w:spacing w:after="60"/>
        <w:ind w:firstLine="567"/>
        <w:jc w:val="both"/>
      </w:pPr>
      <w:r>
        <w:rPr>
          <w:rFonts w:ascii="Arial" w:cs="Arial" w:eastAsia="Arial" w:hAnsi="Arial"/>
          <w:sz w:val="24"/>
          <w:szCs w:val="24"/>
        </w:rPr>
        <w:t xml:space="preserve">"31-1. При заключении банком договора финансовой аренды/договора продажи недвижимого имущества в рассрочку или другого подобного договора банк может классифицировать данный актив (прочую собственность) как "субстандартный" актив с формированием резерва на покрытие потенциальных потерь и убытков в размере 25% в соответствии с Положением о классификации активов и соответствующих отчислениях в резерв на покрытие потенциальных потерь и убытков, утвержденным постановлением Правления Национального банка Кыргызской Республики. В случае допущения просрочек по платежам и нарушения графика погашения по вновь заключенному договору, классификация должна осуществляться согласно установленным требованиям Национального банка.</w:t>
      </w:r>
    </w:p>
    <w:p>
      <w:pPr>
        <w:spacing w:after="60"/>
        <w:ind w:firstLine="567"/>
        <w:jc w:val="both"/>
      </w:pPr>
      <w:r>
        <w:rPr>
          <w:rFonts w:ascii="Arial" w:cs="Arial" w:eastAsia="Arial" w:hAnsi="Arial"/>
          <w:sz w:val="24"/>
          <w:szCs w:val="24"/>
        </w:rPr>
        <w:t xml:space="preserve">При этом, в случае продажи недвижимого имущества в рассрочку и получения задатка от покупателя то, часть прочей собственности, обеспеченная/покрытая задатком классифицируется как "нормальный актив", а не обеспеченная/не покрытая, согласно установленным требованиям Национального банка. Договор должен содержать безусловное право банка не возвращать полученный задаток покупателю в случае неисполнения им договора купли/продажи в рассрочку или другого подобного договора.</w:t>
      </w:r>
    </w:p>
    <w:p>
      <w:pPr>
        <w:spacing w:after="60"/>
        <w:ind w:firstLine="567"/>
        <w:jc w:val="both"/>
      </w:pPr>
      <w:r>
        <w:rPr>
          <w:rFonts w:ascii="Arial" w:cs="Arial" w:eastAsia="Arial" w:hAnsi="Arial"/>
          <w:sz w:val="24"/>
          <w:szCs w:val="24"/>
        </w:rPr>
        <w:t xml:space="preserve">Средства, полученные в качестве задатка, должны учитываться на отдельном счете в этом банке, и не могут превышать 20% от стоимости недвижимого имущества.</w:t>
      </w:r>
    </w:p>
    <w:p>
      <w:pPr>
        <w:spacing w:after="60"/>
        <w:ind w:firstLine="567"/>
        <w:jc w:val="both"/>
      </w:pPr>
      <w:r>
        <w:rPr>
          <w:rFonts w:ascii="Arial" w:cs="Arial" w:eastAsia="Arial" w:hAnsi="Arial"/>
          <w:sz w:val="24"/>
          <w:szCs w:val="24"/>
        </w:rPr>
        <w:t xml:space="preserve">Последующие платежи, осуществленные в счет покупки недвижимого имущества, в случае расторжения договора купли продажи возвращаются покупателю.".</w:t>
      </w:r>
    </w:p>
    <w:p>
      <w:pPr>
        <w:spacing w:after="60"/>
        <w:ind w:firstLine="567"/>
        <w:jc w:val="both"/>
      </w:pPr>
      <w:r>
        <w:rPr>
          <w:rFonts w:ascii="Arial" w:cs="Arial" w:eastAsia="Arial" w:hAnsi="Arial"/>
          <w:sz w:val="24"/>
          <w:szCs w:val="24"/>
        </w:rPr>
        <w:t xml:space="preserve">4. Внести в </w:t>
      </w:r>
      <w:hyperlink w:history="1" r:id="rIdyutktxd8vviwfddoxxgs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fe2ndyzy1kan4aiphfqp9">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определению стандартов достаточности (адекватности) капитала коммерческих банков Кыргызской Республики" от 21 июля 2004 года № 18/2 следующие изменения и дополнения:</w:t>
      </w:r>
    </w:p>
    <w:p>
      <w:pPr>
        <w:spacing w:after="60"/>
        <w:ind w:firstLine="567"/>
        <w:jc w:val="both"/>
      </w:pPr>
      <w:r>
        <w:rPr>
          <w:rFonts w:ascii="Arial" w:cs="Arial" w:eastAsia="Arial" w:hAnsi="Arial"/>
          <w:sz w:val="24"/>
          <w:szCs w:val="24"/>
        </w:rPr>
        <w:t xml:space="preserve">в </w:t>
      </w:r>
      <w:hyperlink w:history="1" r:id="rId_r0xgtq0dxu_9nu4xcdsq">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определению стандартов достаточности (адекватности) капитала коммерческих банков Кыргызской Республики, утвержденной вышеуказанным </w:t>
      </w:r>
      <w:hyperlink w:history="1" r:id="rIdmyco_fw0qftu0vwjjia3_">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в пункте 4.3:</w:t>
      </w:r>
    </w:p>
    <w:p>
      <w:pPr>
        <w:spacing w:after="60"/>
        <w:ind w:firstLine="567"/>
        <w:jc w:val="both"/>
      </w:pPr>
      <w:r>
        <w:rPr>
          <w:rFonts w:ascii="Arial" w:cs="Arial" w:eastAsia="Arial" w:hAnsi="Arial"/>
          <w:sz w:val="24"/>
          <w:szCs w:val="24"/>
        </w:rPr>
        <w:t xml:space="preserve">подпункт 1 дополнить абзацем "з" следующего содержания:</w:t>
      </w:r>
    </w:p>
    <w:p>
      <w:pPr>
        <w:spacing w:after="60"/>
        <w:ind w:firstLine="567"/>
        <w:jc w:val="both"/>
      </w:pPr>
      <w:r>
        <w:rPr>
          <w:rFonts w:ascii="Arial" w:cs="Arial" w:eastAsia="Arial" w:hAnsi="Arial"/>
          <w:sz w:val="24"/>
          <w:szCs w:val="24"/>
        </w:rPr>
        <w:t xml:space="preserve">"з) золото в виде аффинированных мерных слитков, эмитируемых Национальным банком.";</w:t>
      </w:r>
    </w:p>
    <w:p>
      <w:pPr>
        <w:spacing w:after="60"/>
        <w:ind w:firstLine="567"/>
        <w:jc w:val="both"/>
      </w:pPr>
      <w:r>
        <w:rPr>
          <w:rFonts w:ascii="Arial" w:cs="Arial" w:eastAsia="Arial" w:hAnsi="Arial"/>
          <w:sz w:val="24"/>
          <w:szCs w:val="24"/>
        </w:rPr>
        <w:t xml:space="preserve">в абзаце "б" подпункта 4 после слов "в мерных слитках" дополнить словами ", за исключением золотых аффинированных мерных слитков, эмитируемых Национальным банком".</w:t>
      </w:r>
    </w:p>
    <w:p>
      <w:pPr>
        <w:spacing w:after="60"/>
        <w:ind w:firstLine="567"/>
        <w:jc w:val="both"/>
      </w:pPr>
      <w:r>
        <w:rPr>
          <w:rFonts w:ascii="Arial" w:cs="Arial" w:eastAsia="Arial" w:hAnsi="Arial"/>
          <w:sz w:val="24"/>
          <w:szCs w:val="24"/>
        </w:rPr>
        <w:t xml:space="preserve">5. Внести в </w:t>
      </w:r>
      <w:hyperlink w:history="1" r:id="rIdkdzoyedmaglhrjyvrgw1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 некоторых нормативных правовых актах Национального банка Кыргызской Республики" от 30 июня 2010 года № 52/4 следующие изменения и дополнения:</w:t>
      </w:r>
    </w:p>
    <w:p>
      <w:pPr>
        <w:spacing w:after="60"/>
        <w:ind w:firstLine="567"/>
        <w:jc w:val="both"/>
      </w:pPr>
      <w:r>
        <w:rPr>
          <w:rFonts w:ascii="Arial" w:cs="Arial" w:eastAsia="Arial" w:hAnsi="Arial"/>
          <w:sz w:val="24"/>
          <w:szCs w:val="24"/>
        </w:rPr>
        <w:t xml:space="preserve">в </w:t>
      </w:r>
      <w:hyperlink w:history="1" r:id="rId6gkuey2nbl9mxlfnfjgsv">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минимальных требованиях по управлению кредитным риском в коммерческих банках и других финансово-кредитных организациях, лицензируемых Национальным банком Кыргызской Республики", утвержденном вышеуказанным </w:t>
      </w:r>
      <w:hyperlink w:history="1" r:id="rIdscf3ytjs5fsmrhw_a8wf4">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пункт 2-1 изложить в следующей редакции:</w:t>
      </w:r>
    </w:p>
    <w:p>
      <w:pPr>
        <w:spacing w:after="60"/>
        <w:ind w:firstLine="567"/>
        <w:jc w:val="both"/>
      </w:pPr>
      <w:r>
        <w:rPr>
          <w:rFonts w:ascii="Arial" w:cs="Arial" w:eastAsia="Arial" w:hAnsi="Arial"/>
          <w:sz w:val="24"/>
          <w:szCs w:val="24"/>
        </w:rPr>
        <w:t xml:space="preserve">"2-1. Данное </w:t>
      </w:r>
      <w:hyperlink w:history="1" r:id="rIdmms7ckjj9tmr7k71jvxoi">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распространяется на другие активы, несущие в себе кредитный риск (в том числе корреспондентские счета, ценные бумаги, межбанковские размещения и т.п.).";</w:t>
      </w:r>
    </w:p>
    <w:p>
      <w:pPr>
        <w:spacing w:after="60"/>
        <w:ind w:firstLine="567"/>
        <w:jc w:val="both"/>
      </w:pPr>
      <w:r>
        <w:rPr>
          <w:rFonts w:ascii="Arial" w:cs="Arial" w:eastAsia="Arial" w:hAnsi="Arial"/>
          <w:sz w:val="24"/>
          <w:szCs w:val="24"/>
        </w:rPr>
        <w:t xml:space="preserve">- дополнить пунктом 3-2 следующего содержания:</w:t>
      </w:r>
    </w:p>
    <w:p>
      <w:pPr>
        <w:spacing w:after="60"/>
        <w:ind w:firstLine="567"/>
        <w:jc w:val="both"/>
      </w:pPr>
      <w:r>
        <w:rPr>
          <w:rFonts w:ascii="Arial" w:cs="Arial" w:eastAsia="Arial" w:hAnsi="Arial"/>
          <w:sz w:val="24"/>
          <w:szCs w:val="24"/>
        </w:rPr>
        <w:t xml:space="preserve">"3-2. Бланковые кредиты - это кредиты, которые выдаются банком без какого-либо обеспечения, за исключением овердрафтов по платежным картам в рамках зарплатных проектов, и выдается исключительно кредитоспособному заемщику (только резиденту) на основании его репутации и оценки уровня его доходов.";</w:t>
      </w:r>
    </w:p>
    <w:p>
      <w:pPr>
        <w:spacing w:after="60"/>
        <w:ind w:firstLine="567"/>
        <w:jc w:val="both"/>
      </w:pPr>
      <w:r>
        <w:rPr>
          <w:rFonts w:ascii="Arial" w:cs="Arial" w:eastAsia="Arial" w:hAnsi="Arial"/>
          <w:sz w:val="24"/>
          <w:szCs w:val="24"/>
        </w:rPr>
        <w:t xml:space="preserve">- второе предложение пункта 4 изложить в следующей редакции:</w:t>
      </w:r>
    </w:p>
    <w:p>
      <w:pPr>
        <w:spacing w:after="60"/>
        <w:ind w:firstLine="567"/>
        <w:jc w:val="both"/>
      </w:pPr>
      <w:r>
        <w:rPr>
          <w:rFonts w:ascii="Arial" w:cs="Arial" w:eastAsia="Arial" w:hAnsi="Arial"/>
          <w:sz w:val="24"/>
          <w:szCs w:val="24"/>
        </w:rPr>
        <w:t xml:space="preserve">"Трансграничные кредиты - кредиты, выданные резидентам/нерезидентам, для финансирования деятельности исключительно за пределами Кыргызской Республики, при этом понятие резидента/нерезидента соответствует понятию, определенному в законодательстве Кыргызской Республики.";</w:t>
      </w:r>
    </w:p>
    <w:p>
      <w:pPr>
        <w:spacing w:after="60"/>
        <w:ind w:firstLine="567"/>
        <w:jc w:val="both"/>
      </w:pPr>
      <w:r>
        <w:rPr>
          <w:rFonts w:ascii="Arial" w:cs="Arial" w:eastAsia="Arial" w:hAnsi="Arial"/>
          <w:sz w:val="24"/>
          <w:szCs w:val="24"/>
        </w:rPr>
        <w:t xml:space="preserve">- наименование раздела 2 Положения изложить в следующей редакции:</w:t>
      </w:r>
    </w:p>
    <w:p>
      <w:pPr>
        <w:spacing w:after="60"/>
        <w:ind w:firstLine="567"/>
        <w:jc w:val="both"/>
      </w:pPr>
      <w:r>
        <w:rPr>
          <w:rFonts w:ascii="Arial" w:cs="Arial" w:eastAsia="Arial" w:hAnsi="Arial"/>
          <w:sz w:val="24"/>
          <w:szCs w:val="24"/>
        </w:rPr>
        <w:t xml:space="preserve">"2. Кредитная политика и кредитная стратегия банка";</w:t>
      </w:r>
    </w:p>
    <w:p>
      <w:pPr>
        <w:spacing w:after="60"/>
        <w:ind w:firstLine="567"/>
        <w:jc w:val="both"/>
      </w:pPr>
      <w:r>
        <w:rPr>
          <w:rFonts w:ascii="Arial" w:cs="Arial" w:eastAsia="Arial" w:hAnsi="Arial"/>
          <w:sz w:val="24"/>
          <w:szCs w:val="24"/>
        </w:rPr>
        <w:t xml:space="preserve">- пункт 6 изложить в следующей редакции:</w:t>
      </w:r>
    </w:p>
    <w:p>
      <w:pPr>
        <w:spacing w:after="60"/>
        <w:ind w:firstLine="567"/>
        <w:jc w:val="both"/>
      </w:pPr>
      <w:r>
        <w:rPr>
          <w:rFonts w:ascii="Arial" w:cs="Arial" w:eastAsia="Arial" w:hAnsi="Arial"/>
          <w:sz w:val="24"/>
          <w:szCs w:val="24"/>
        </w:rPr>
        <w:t xml:space="preserve">"6. Кредитные операции банка осуществляются в соответствии с его внутренней кредитной политикой и кредитной стратегией, утверждаемой Советом директоров банка.</w:t>
      </w:r>
    </w:p>
    <w:p>
      <w:pPr>
        <w:spacing w:after="60"/>
        <w:ind w:firstLine="567"/>
        <w:jc w:val="both"/>
      </w:pPr>
      <w:r>
        <w:rPr>
          <w:rFonts w:ascii="Arial" w:cs="Arial" w:eastAsia="Arial" w:hAnsi="Arial"/>
          <w:sz w:val="24"/>
          <w:szCs w:val="24"/>
        </w:rPr>
        <w:t xml:space="preserve">Кредитная стратегия может быть включена в Бизнес план банка отдельным/дополнительным разделом.";</w:t>
      </w:r>
    </w:p>
    <w:p>
      <w:pPr>
        <w:spacing w:after="60"/>
        <w:ind w:firstLine="567"/>
        <w:jc w:val="both"/>
      </w:pPr>
      <w:r>
        <w:rPr>
          <w:rFonts w:ascii="Arial" w:cs="Arial" w:eastAsia="Arial" w:hAnsi="Arial"/>
          <w:sz w:val="24"/>
          <w:szCs w:val="24"/>
        </w:rPr>
        <w:t xml:space="preserve">- дополнить пунктами 6-1, 6-2, 6-3 следующего содержания:</w:t>
      </w:r>
    </w:p>
    <w:p>
      <w:pPr>
        <w:spacing w:after="60"/>
        <w:ind w:firstLine="567"/>
        <w:jc w:val="both"/>
      </w:pPr>
      <w:r>
        <w:rPr>
          <w:rFonts w:ascii="Arial" w:cs="Arial" w:eastAsia="Arial" w:hAnsi="Arial"/>
          <w:sz w:val="24"/>
          <w:szCs w:val="24"/>
        </w:rPr>
        <w:t xml:space="preserve">"6-1. Кредитная стратегия должна как минимум учитывать и включать в себя следующее:</w:t>
      </w:r>
    </w:p>
    <w:p>
      <w:pPr>
        <w:spacing w:after="60"/>
        <w:ind w:firstLine="567"/>
        <w:jc w:val="both"/>
      </w:pPr>
      <w:r>
        <w:rPr>
          <w:rFonts w:ascii="Arial" w:cs="Arial" w:eastAsia="Arial" w:hAnsi="Arial"/>
          <w:sz w:val="24"/>
          <w:szCs w:val="24"/>
        </w:rPr>
        <w:t xml:space="preserve">- целевые рынки кредитования и их общие характеристики, которые банк планирует достичь (в том числе уровень диверсификации, планируемые показатели при оценке качества кредитного портфеля и т.д.);</w:t>
      </w:r>
    </w:p>
    <w:p>
      <w:pPr>
        <w:spacing w:after="60"/>
        <w:ind w:firstLine="567"/>
        <w:jc w:val="both"/>
      </w:pPr>
      <w:r>
        <w:rPr>
          <w:rFonts w:ascii="Arial" w:cs="Arial" w:eastAsia="Arial" w:hAnsi="Arial"/>
          <w:sz w:val="24"/>
          <w:szCs w:val="24"/>
        </w:rPr>
        <w:t xml:space="preserve">- основные источники финансирования по кредитованию (банку необходимо указать источники финансирования кредитования, за счет каких средств планируется кредитовать, увеличивать кредитный портфель);</w:t>
      </w:r>
    </w:p>
    <w:p>
      <w:pPr>
        <w:spacing w:after="60"/>
        <w:ind w:firstLine="567"/>
        <w:jc w:val="both"/>
      </w:pPr>
      <w:r>
        <w:rPr>
          <w:rFonts w:ascii="Arial" w:cs="Arial" w:eastAsia="Arial" w:hAnsi="Arial"/>
          <w:sz w:val="24"/>
          <w:szCs w:val="24"/>
        </w:rPr>
        <w:t xml:space="preserve">- требование о проведении анализа косвенно-валютного риска;</w:t>
      </w:r>
    </w:p>
    <w:p>
      <w:pPr>
        <w:spacing w:after="60"/>
        <w:ind w:firstLine="567"/>
        <w:jc w:val="both"/>
      </w:pPr>
      <w:r>
        <w:rPr>
          <w:rFonts w:ascii="Arial" w:cs="Arial" w:eastAsia="Arial" w:hAnsi="Arial"/>
          <w:sz w:val="24"/>
          <w:szCs w:val="24"/>
        </w:rPr>
        <w:t xml:space="preserve">- соотношение доли кредитов к активам банка;</w:t>
      </w:r>
    </w:p>
    <w:p>
      <w:pPr>
        <w:spacing w:after="60"/>
        <w:ind w:firstLine="567"/>
        <w:jc w:val="both"/>
      </w:pPr>
      <w:r>
        <w:rPr>
          <w:rFonts w:ascii="Arial" w:cs="Arial" w:eastAsia="Arial" w:hAnsi="Arial"/>
          <w:sz w:val="24"/>
          <w:szCs w:val="24"/>
        </w:rPr>
        <w:t xml:space="preserve">- рыночные условия и финансовое состояние банка, а также его риск-аппетит;</w:t>
      </w:r>
    </w:p>
    <w:p>
      <w:pPr>
        <w:spacing w:after="60"/>
        <w:ind w:firstLine="567"/>
        <w:jc w:val="both"/>
      </w:pPr>
      <w:r>
        <w:rPr>
          <w:rFonts w:ascii="Arial" w:cs="Arial" w:eastAsia="Arial" w:hAnsi="Arial"/>
          <w:sz w:val="24"/>
          <w:szCs w:val="24"/>
        </w:rPr>
        <w:t xml:space="preserve">- ожидаемую норму прибыли и размер капитала банка;</w:t>
      </w:r>
    </w:p>
    <w:p>
      <w:pPr>
        <w:spacing w:after="60"/>
        <w:ind w:firstLine="567"/>
        <w:jc w:val="both"/>
      </w:pPr>
      <w:r>
        <w:rPr>
          <w:rFonts w:ascii="Arial" w:cs="Arial" w:eastAsia="Arial" w:hAnsi="Arial"/>
          <w:sz w:val="24"/>
          <w:szCs w:val="24"/>
        </w:rPr>
        <w:t xml:space="preserve">- возможные издержки, связанные с возвратом активов подверженных кредитному риску;</w:t>
      </w:r>
    </w:p>
    <w:p>
      <w:pPr>
        <w:spacing w:after="60"/>
        <w:ind w:firstLine="567"/>
        <w:jc w:val="both"/>
      </w:pPr>
      <w:r>
        <w:rPr>
          <w:rFonts w:ascii="Arial" w:cs="Arial" w:eastAsia="Arial" w:hAnsi="Arial"/>
          <w:sz w:val="24"/>
          <w:szCs w:val="24"/>
        </w:rPr>
        <w:t xml:space="preserve">- краткосрочные/среднесрочные/долгосрочные планы банка;</w:t>
      </w:r>
    </w:p>
    <w:p>
      <w:pPr>
        <w:spacing w:after="60"/>
        <w:ind w:firstLine="567"/>
        <w:jc w:val="both"/>
      </w:pPr>
      <w:r>
        <w:rPr>
          <w:rFonts w:ascii="Arial" w:cs="Arial" w:eastAsia="Arial" w:hAnsi="Arial"/>
          <w:sz w:val="24"/>
          <w:szCs w:val="24"/>
        </w:rPr>
        <w:t xml:space="preserve">- требование о проведении анализа кредитного портфеля, который будет осуществляться на основе действующего кредитного портфеля банка. В дополнение к этому, банк должен иметь методологию проведения такого анализа, которая позволит оценивать кредитный риск и косвенно-валютный риск;</w:t>
      </w:r>
    </w:p>
    <w:p>
      <w:pPr>
        <w:spacing w:after="60"/>
        <w:ind w:firstLine="567"/>
        <w:jc w:val="both"/>
      </w:pPr>
      <w:r>
        <w:rPr>
          <w:rFonts w:ascii="Arial" w:cs="Arial" w:eastAsia="Arial" w:hAnsi="Arial"/>
          <w:sz w:val="24"/>
          <w:szCs w:val="24"/>
        </w:rPr>
        <w:t xml:space="preserve">- актуальными адекватными экономическими показателями банка;</w:t>
      </w:r>
    </w:p>
    <w:p>
      <w:pPr>
        <w:spacing w:after="60"/>
        <w:ind w:firstLine="567"/>
        <w:jc w:val="both"/>
      </w:pPr>
      <w:r>
        <w:rPr>
          <w:rFonts w:ascii="Arial" w:cs="Arial" w:eastAsia="Arial" w:hAnsi="Arial"/>
          <w:sz w:val="24"/>
          <w:szCs w:val="24"/>
        </w:rPr>
        <w:t xml:space="preserve">- организационную структуру банка, технические возможности и потенциал (квалификации, штатная численность) персонала и руководства банка, ответственных за кредитную деятельность банка. Соответствующий персонал должен быть проинформирован о кредитной стратегии, и обеспечивать ясность кредитной стратеги банка.</w:t>
      </w:r>
    </w:p>
    <w:p>
      <w:pPr>
        <w:spacing w:after="60"/>
        <w:ind w:firstLine="567"/>
        <w:jc w:val="both"/>
      </w:pPr>
      <w:r>
        <w:rPr>
          <w:rFonts w:ascii="Arial" w:cs="Arial" w:eastAsia="Arial" w:hAnsi="Arial"/>
          <w:sz w:val="24"/>
          <w:szCs w:val="24"/>
        </w:rPr>
        <w:t xml:space="preserve">6-2. Совет директоров периодически, но не реже одного раза в год рассматривает финансовые и экономические показатели, влияющие или предусмотренные, заложенные в кредитной стратегии, и при необходимости вносит необходимые изменения.</w:t>
      </w:r>
    </w:p>
    <w:p>
      <w:pPr>
        <w:spacing w:after="60"/>
        <w:ind w:firstLine="567"/>
        <w:jc w:val="both"/>
      </w:pPr>
      <w:r>
        <w:rPr>
          <w:rFonts w:ascii="Arial" w:cs="Arial" w:eastAsia="Arial" w:hAnsi="Arial"/>
          <w:sz w:val="24"/>
          <w:szCs w:val="24"/>
        </w:rPr>
        <w:t xml:space="preserve">6-3. Совет директоров банка должен обеспечивать, чтобы политика по назначениям и вознаграждениям в банке не противоречила стратегии по управлению кредитным риском.";</w:t>
      </w:r>
    </w:p>
    <w:p>
      <w:pPr>
        <w:spacing w:after="60"/>
        <w:ind w:firstLine="567"/>
        <w:jc w:val="both"/>
      </w:pPr>
      <w:r>
        <w:rPr>
          <w:rFonts w:ascii="Arial" w:cs="Arial" w:eastAsia="Arial" w:hAnsi="Arial"/>
          <w:sz w:val="24"/>
          <w:szCs w:val="24"/>
        </w:rPr>
        <w:t xml:space="preserve">- пункт 12-1 изложить в следующей редакции:</w:t>
      </w:r>
    </w:p>
    <w:p>
      <w:pPr>
        <w:spacing w:after="60"/>
        <w:ind w:firstLine="567"/>
        <w:jc w:val="both"/>
      </w:pPr>
      <w:r>
        <w:rPr>
          <w:rFonts w:ascii="Arial" w:cs="Arial" w:eastAsia="Arial" w:hAnsi="Arial"/>
          <w:sz w:val="24"/>
          <w:szCs w:val="24"/>
        </w:rPr>
        <w:t xml:space="preserve">"12-1. Внутренний аудит системы внутреннего контроля кредитного риска должен проводиться ежегодно для определения соответствия деятельности банка по кредитованию кредитной стратегии, политике банка и выявления недостатков в процессе управления кредитным риском, в кредитной политике и в процедурах по кредитованию.</w:t>
      </w:r>
    </w:p>
    <w:p>
      <w:pPr>
        <w:spacing w:after="60"/>
        <w:ind w:firstLine="567"/>
        <w:jc w:val="both"/>
      </w:pPr>
      <w:r>
        <w:rPr>
          <w:rFonts w:ascii="Arial" w:cs="Arial" w:eastAsia="Arial" w:hAnsi="Arial"/>
          <w:sz w:val="24"/>
          <w:szCs w:val="24"/>
        </w:rPr>
        <w:t xml:space="preserve">Также банку необходимо, в рамках внутреннего аудита, оценивать систему внутреннего контроля кредитного риска, обусловленного валютным риском, в том числе классификацию кредитов/активов в соответствии с установленными требованиями Национального банка.</w:t>
      </w:r>
    </w:p>
    <w:p>
      <w:pPr>
        <w:spacing w:after="60"/>
        <w:ind w:firstLine="567"/>
        <w:jc w:val="both"/>
      </w:pPr>
      <w:r>
        <w:rPr>
          <w:rFonts w:ascii="Arial" w:cs="Arial" w:eastAsia="Arial" w:hAnsi="Arial"/>
          <w:sz w:val="24"/>
          <w:szCs w:val="24"/>
        </w:rPr>
        <w:t xml:space="preserve">Информация по последующему исполнению корректирующих мероприятий по недостаткам, выявленным в результате внутреннего аудита системы внутреннего контроля кредитного риска, должны периодически, но не реже одного раза в полгода передаваться Совету директоров банка и, как минимум, не реже одного раза в квартал в Комитет по аудиту.";</w:t>
      </w:r>
    </w:p>
    <w:p>
      <w:pPr>
        <w:spacing w:after="60"/>
        <w:ind w:firstLine="567"/>
        <w:jc w:val="both"/>
      </w:pPr>
      <w:r>
        <w:rPr>
          <w:rFonts w:ascii="Arial" w:cs="Arial" w:eastAsia="Arial" w:hAnsi="Arial"/>
          <w:sz w:val="24"/>
          <w:szCs w:val="24"/>
        </w:rPr>
        <w:t xml:space="preserve">- пункт 24 признать утратившим силу;</w:t>
      </w:r>
    </w:p>
    <w:p>
      <w:pPr>
        <w:spacing w:after="60"/>
        <w:ind w:firstLine="567"/>
        <w:jc w:val="both"/>
      </w:pPr>
      <w:r>
        <w:rPr>
          <w:rFonts w:ascii="Arial" w:cs="Arial" w:eastAsia="Arial" w:hAnsi="Arial"/>
          <w:sz w:val="24"/>
          <w:szCs w:val="24"/>
        </w:rPr>
        <w:t xml:space="preserve">- абзац шестой пункта 25 изложить в следующей редакции:</w:t>
      </w:r>
    </w:p>
    <w:p>
      <w:pPr>
        <w:spacing w:after="60"/>
        <w:ind w:firstLine="567"/>
        <w:jc w:val="both"/>
      </w:pPr>
      <w:r>
        <w:rPr>
          <w:rFonts w:ascii="Arial" w:cs="Arial" w:eastAsia="Arial" w:hAnsi="Arial"/>
          <w:sz w:val="24"/>
          <w:szCs w:val="24"/>
        </w:rPr>
        <w:t xml:space="preserve">"- документ из государственных органов о регистрации (если заемщик - юридическое лицо или физическое лицо, осуществляющее предпринимательскую деятельность на основе свидетельства или патента) за исключением, кредитов, выданных в рамках правительственных программ, направленных на развитие сельского хозяйства;";</w:t>
      </w:r>
    </w:p>
    <w:p>
      <w:pPr>
        <w:spacing w:after="60"/>
        <w:ind w:firstLine="567"/>
        <w:jc w:val="both"/>
      </w:pPr>
      <w:r>
        <w:rPr>
          <w:rFonts w:ascii="Arial" w:cs="Arial" w:eastAsia="Arial" w:hAnsi="Arial"/>
          <w:sz w:val="24"/>
          <w:szCs w:val="24"/>
        </w:rPr>
        <w:t xml:space="preserve">- абзац четвертый пункта 26 изложить в следующей редакции:</w:t>
      </w:r>
    </w:p>
    <w:p>
      <w:pPr>
        <w:spacing w:after="60"/>
        <w:ind w:firstLine="567"/>
        <w:jc w:val="both"/>
      </w:pPr>
      <w:r>
        <w:rPr>
          <w:rFonts w:ascii="Arial" w:cs="Arial" w:eastAsia="Arial" w:hAnsi="Arial"/>
          <w:sz w:val="24"/>
          <w:szCs w:val="24"/>
        </w:rPr>
        <w:t xml:space="preserve">"- право клиента обратиться к банку в последующем с просьбой о реструктуризации кредита;";</w:t>
      </w:r>
    </w:p>
    <w:p>
      <w:pPr>
        <w:spacing w:after="60"/>
        <w:ind w:firstLine="567"/>
        <w:jc w:val="both"/>
      </w:pPr>
      <w:r>
        <w:rPr>
          <w:rFonts w:ascii="Arial" w:cs="Arial" w:eastAsia="Arial" w:hAnsi="Arial"/>
          <w:sz w:val="24"/>
          <w:szCs w:val="24"/>
        </w:rPr>
        <w:t xml:space="preserve">- в пункте 31 слова "п.30" заменить словами "пункте 30";</w:t>
      </w:r>
    </w:p>
    <w:p>
      <w:pPr>
        <w:spacing w:after="60"/>
        <w:ind w:firstLine="567"/>
        <w:jc w:val="both"/>
      </w:pPr>
      <w:r>
        <w:rPr>
          <w:rFonts w:ascii="Arial" w:cs="Arial" w:eastAsia="Arial" w:hAnsi="Arial"/>
          <w:sz w:val="24"/>
          <w:szCs w:val="24"/>
        </w:rPr>
        <w:t xml:space="preserve">- пункт 42 дополнить абзацем седьмым следующего содержания:</w:t>
      </w:r>
    </w:p>
    <w:p>
      <w:pPr>
        <w:spacing w:after="60"/>
        <w:ind w:firstLine="567"/>
        <w:jc w:val="both"/>
      </w:pPr>
      <w:r>
        <w:rPr>
          <w:rFonts w:ascii="Arial" w:cs="Arial" w:eastAsia="Arial" w:hAnsi="Arial"/>
          <w:sz w:val="24"/>
          <w:szCs w:val="24"/>
        </w:rPr>
        <w:t xml:space="preserve">"- обязанность банка прекратить начисление неустойки (штрафов, пени) по истечении 15 дней с момента направления извещения о начале процедуры обращения взыскания на предмет залога по кредиту заемщика - физического лица, в том числе индивидуального предпринимателя без образования юридического лица, при этом размер неустойки (штрафа, пени), начисленной за весь период действия кредита не должен превышать 20 процентов от суммы выданного кредита;";</w:t>
      </w:r>
    </w:p>
    <w:p>
      <w:pPr>
        <w:spacing w:after="60"/>
        <w:ind w:firstLine="567"/>
        <w:jc w:val="both"/>
      </w:pPr>
      <w:r>
        <w:rPr>
          <w:rFonts w:ascii="Arial" w:cs="Arial" w:eastAsia="Arial" w:hAnsi="Arial"/>
          <w:sz w:val="24"/>
          <w:szCs w:val="24"/>
        </w:rPr>
        <w:t xml:space="preserve">- в пункте 55:</w:t>
      </w:r>
    </w:p>
    <w:p>
      <w:pPr>
        <w:spacing w:after="60"/>
        <w:ind w:firstLine="567"/>
        <w:jc w:val="both"/>
      </w:pPr>
      <w:r>
        <w:rPr>
          <w:rFonts w:ascii="Arial" w:cs="Arial" w:eastAsia="Arial" w:hAnsi="Arial"/>
          <w:sz w:val="24"/>
          <w:szCs w:val="24"/>
        </w:rPr>
        <w:t xml:space="preserve">абзац второй изложить в следующей редакции:</w:t>
      </w:r>
    </w:p>
    <w:p>
      <w:pPr>
        <w:spacing w:after="60"/>
        <w:ind w:firstLine="567"/>
        <w:jc w:val="both"/>
      </w:pPr>
      <w:r>
        <w:rPr>
          <w:rFonts w:ascii="Arial" w:cs="Arial" w:eastAsia="Arial" w:hAnsi="Arial"/>
          <w:sz w:val="24"/>
          <w:szCs w:val="24"/>
        </w:rPr>
        <w:t xml:space="preserve">"- предмет залога и его рыночная стоимость (при необходимости с учетом применения установленных коэффициентов);";</w:t>
      </w:r>
    </w:p>
    <w:p>
      <w:pPr>
        <w:spacing w:after="60"/>
        <w:ind w:firstLine="567"/>
        <w:jc w:val="both"/>
      </w:pPr>
      <w:r>
        <w:rPr>
          <w:rFonts w:ascii="Arial" w:cs="Arial" w:eastAsia="Arial" w:hAnsi="Arial"/>
          <w:sz w:val="24"/>
          <w:szCs w:val="24"/>
        </w:rPr>
        <w:t xml:space="preserve">абзац шестой изложить в следующей редакции:</w:t>
      </w:r>
    </w:p>
    <w:p>
      <w:pPr>
        <w:spacing w:after="60"/>
        <w:ind w:firstLine="567"/>
        <w:jc w:val="both"/>
      </w:pPr>
      <w:r>
        <w:rPr>
          <w:rFonts w:ascii="Arial" w:cs="Arial" w:eastAsia="Arial" w:hAnsi="Arial"/>
          <w:sz w:val="24"/>
          <w:szCs w:val="24"/>
        </w:rPr>
        <w:t xml:space="preserve">"- другие требования, а также обязанности сторон по отношению к залогу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 первое предложение пункта 61 исключить;</w:t>
      </w:r>
    </w:p>
    <w:p>
      <w:pPr>
        <w:spacing w:after="60"/>
        <w:ind w:firstLine="567"/>
        <w:jc w:val="both"/>
      </w:pPr>
      <w:r>
        <w:rPr>
          <w:rFonts w:ascii="Arial" w:cs="Arial" w:eastAsia="Arial" w:hAnsi="Arial"/>
          <w:sz w:val="24"/>
          <w:szCs w:val="24"/>
        </w:rPr>
        <w:t xml:space="preserve">- в пункте 75:</w:t>
      </w:r>
    </w:p>
    <w:p>
      <w:pPr>
        <w:spacing w:after="60"/>
        <w:ind w:firstLine="567"/>
        <w:jc w:val="both"/>
      </w:pPr>
      <w:r>
        <w:rPr>
          <w:rFonts w:ascii="Arial" w:cs="Arial" w:eastAsia="Arial" w:hAnsi="Arial"/>
          <w:sz w:val="24"/>
          <w:szCs w:val="24"/>
        </w:rPr>
        <w:t xml:space="preserve">шестой абзац изложить в следующей редакции:</w:t>
      </w:r>
    </w:p>
    <w:p>
      <w:pPr>
        <w:spacing w:after="60"/>
        <w:ind w:firstLine="567"/>
        <w:jc w:val="both"/>
      </w:pPr>
      <w:r>
        <w:rPr>
          <w:rFonts w:ascii="Arial" w:cs="Arial" w:eastAsia="Arial" w:hAnsi="Arial"/>
          <w:sz w:val="24"/>
          <w:szCs w:val="24"/>
        </w:rPr>
        <w:t xml:space="preserve">"- в случае необходимости, разработку программы изменения структуры задолженности (пересмотр графика платежей по возврату кредита и выплате процентов, изменение форм кредитования, проведения реструктуризации и др.).";</w:t>
      </w:r>
    </w:p>
    <w:p>
      <w:pPr>
        <w:spacing w:after="60"/>
        <w:ind w:firstLine="567"/>
        <w:jc w:val="both"/>
      </w:pPr>
      <w:r>
        <w:rPr>
          <w:rFonts w:ascii="Arial" w:cs="Arial" w:eastAsia="Arial" w:hAnsi="Arial"/>
          <w:sz w:val="24"/>
          <w:szCs w:val="24"/>
        </w:rPr>
        <w:t xml:space="preserve">дополнить пункт абзацами следующего содержания:</w:t>
      </w:r>
    </w:p>
    <w:p>
      <w:pPr>
        <w:spacing w:after="60"/>
        <w:ind w:firstLine="567"/>
        <w:jc w:val="both"/>
      </w:pPr>
      <w:r>
        <w:rPr>
          <w:rFonts w:ascii="Arial" w:cs="Arial" w:eastAsia="Arial" w:hAnsi="Arial"/>
          <w:sz w:val="24"/>
          <w:szCs w:val="24"/>
        </w:rPr>
        <w:t xml:space="preserve">"При реструктуризации кредита, банку необходимо рассматривать текущее финансовое состояние и степень доверия банка к заемщику. Банк может реструктуризировать кредит, только в том случае если заемщик имеет реальные возможности по исполнению своих обязательств по измененным условиям своего кредита, что должно подтверждаться проведенным анализом и соответствующими документами.</w:t>
      </w:r>
    </w:p>
    <w:p>
      <w:pPr>
        <w:spacing w:after="60"/>
        <w:ind w:firstLine="567"/>
        <w:jc w:val="both"/>
      </w:pPr>
      <w:r>
        <w:rPr>
          <w:rFonts w:ascii="Arial" w:cs="Arial" w:eastAsia="Arial" w:hAnsi="Arial"/>
          <w:sz w:val="24"/>
          <w:szCs w:val="24"/>
        </w:rPr>
        <w:t xml:space="preserve">Кредитное досье заемщика, чей кредит был реструктурирован, должно включать в себя всю информацию о текущем финансовом состоянии заемщика и его возможности погасить кредит, а также информацию и соответствующие документы о проведенной реструктуризации.";</w:t>
      </w:r>
    </w:p>
    <w:p>
      <w:pPr>
        <w:spacing w:after="60"/>
        <w:ind w:firstLine="567"/>
        <w:jc w:val="both"/>
      </w:pPr>
      <w:r>
        <w:rPr>
          <w:rFonts w:ascii="Arial" w:cs="Arial" w:eastAsia="Arial" w:hAnsi="Arial"/>
          <w:sz w:val="24"/>
          <w:szCs w:val="24"/>
        </w:rPr>
        <w:t xml:space="preserve">- в первом абзаце пункта 79 слово "ежемесячной" заменить словом "ежеквартальной";</w:t>
      </w:r>
    </w:p>
    <w:p>
      <w:pPr>
        <w:spacing w:after="60"/>
        <w:ind w:firstLine="567"/>
        <w:jc w:val="both"/>
      </w:pPr>
      <w:r>
        <w:rPr>
          <w:rFonts w:ascii="Arial" w:cs="Arial" w:eastAsia="Arial" w:hAnsi="Arial"/>
          <w:sz w:val="24"/>
          <w:szCs w:val="24"/>
        </w:rPr>
        <w:t xml:space="preserve">- дополнить пунктом 80-1 следующего содержания:</w:t>
      </w:r>
    </w:p>
    <w:p>
      <w:pPr>
        <w:spacing w:after="60"/>
        <w:ind w:firstLine="567"/>
        <w:jc w:val="both"/>
      </w:pPr>
      <w:r>
        <w:rPr>
          <w:rFonts w:ascii="Arial" w:cs="Arial" w:eastAsia="Arial" w:hAnsi="Arial"/>
          <w:sz w:val="24"/>
          <w:szCs w:val="24"/>
        </w:rPr>
        <w:t xml:space="preserve">"80-1. Банк может инициировать процедуру обращения взыскания на заложенное недвижимое имущество по кредиту при систематическом нарушении исполнения обязательств заемщиком более чем на три последовательных месяца (согласно действующему графику погашения клиента), предшествующих дате направления извещения о начале процедуры обращения взыскания на предмет залога во внесудебном порядке.";</w:t>
      </w:r>
    </w:p>
    <w:p>
      <w:pPr>
        <w:spacing w:after="60"/>
        <w:ind w:firstLine="567"/>
        <w:jc w:val="both"/>
      </w:pPr>
      <w:r>
        <w:rPr>
          <w:rFonts w:ascii="Arial" w:cs="Arial" w:eastAsia="Arial" w:hAnsi="Arial"/>
          <w:sz w:val="24"/>
          <w:szCs w:val="24"/>
        </w:rPr>
        <w:t xml:space="preserve">- в </w:t>
      </w:r>
      <w:hyperlink w:history="1" r:id="rIdxgqpnygk5lbts6nriig1v">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 к Положению:</w:t>
      </w:r>
    </w:p>
    <w:p>
      <w:pPr>
        <w:spacing w:after="60"/>
        <w:ind w:firstLine="567"/>
        <w:jc w:val="both"/>
      </w:pPr>
      <w:r>
        <w:rPr>
          <w:rFonts w:ascii="Arial" w:cs="Arial" w:eastAsia="Arial" w:hAnsi="Arial"/>
          <w:sz w:val="24"/>
          <w:szCs w:val="24"/>
        </w:rPr>
        <w:t xml:space="preserve">второй абзац пункта 22 изложить в следующей редакции:</w:t>
      </w:r>
    </w:p>
    <w:p>
      <w:pPr>
        <w:spacing w:after="60"/>
        <w:ind w:firstLine="567"/>
        <w:jc w:val="both"/>
      </w:pPr>
      <w:r>
        <w:rPr>
          <w:rFonts w:ascii="Arial" w:cs="Arial" w:eastAsia="Arial" w:hAnsi="Arial"/>
          <w:sz w:val="24"/>
          <w:szCs w:val="24"/>
        </w:rPr>
        <w:t xml:space="preserve">"- рыночная стоимость залога (при необходимости с учетом применения установленных коэффициентов);";</w:t>
      </w:r>
    </w:p>
    <w:p>
      <w:pPr>
        <w:spacing w:after="60"/>
        <w:ind w:firstLine="567"/>
        <w:jc w:val="both"/>
      </w:pPr>
      <w:r>
        <w:rPr>
          <w:rFonts w:ascii="Arial" w:cs="Arial" w:eastAsia="Arial" w:hAnsi="Arial"/>
          <w:sz w:val="24"/>
          <w:szCs w:val="24"/>
        </w:rPr>
        <w:t xml:space="preserve">восьмой абзац пункта 25 изложить в следующей редакции:</w:t>
      </w:r>
    </w:p>
    <w:p>
      <w:pPr>
        <w:spacing w:after="60"/>
        <w:ind w:firstLine="567"/>
        <w:jc w:val="both"/>
      </w:pPr>
      <w:r>
        <w:rPr>
          <w:rFonts w:ascii="Arial" w:cs="Arial" w:eastAsia="Arial" w:hAnsi="Arial"/>
          <w:sz w:val="24"/>
          <w:szCs w:val="24"/>
        </w:rPr>
        <w:t xml:space="preserve">"- рыночная стоимость залога (при необходимости с учетом применения установленных коэффициентов);";</w:t>
      </w:r>
    </w:p>
    <w:p>
      <w:pPr>
        <w:spacing w:after="60"/>
        <w:ind w:firstLine="567"/>
        <w:jc w:val="both"/>
      </w:pPr>
      <w:r>
        <w:rPr>
          <w:rFonts w:ascii="Arial" w:cs="Arial" w:eastAsia="Arial" w:hAnsi="Arial"/>
          <w:sz w:val="24"/>
          <w:szCs w:val="24"/>
        </w:rPr>
        <w:t xml:space="preserve">- </w:t>
      </w:r>
      <w:hyperlink w:history="1" r:id="rId7t11mvu0btrpcuhmpady8">
        <w:r>
          <w:rPr>
            <w:rFonts w:ascii="Arial" w:cs="Arial" w:eastAsia="Arial" w:hAnsi="Arial"/>
            <w:color w:val="1D4ED8"/>
            <w:sz w:val="24"/>
            <w:szCs w:val="24"/>
            <w:u w:val="single"/>
          </w:rPr>
          <w:t xml:space="preserve">Приложение 5</w:t>
        </w:r>
      </w:hyperlink>
      <w:r>
        <w:rPr>
          <w:rFonts w:ascii="Arial" w:cs="Arial" w:eastAsia="Arial" w:hAnsi="Arial"/>
          <w:sz w:val="24"/>
          <w:szCs w:val="24"/>
        </w:rPr>
        <w:t xml:space="preserve"> к Положению признать утратившим силу.</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nj08lyoztnpak5ie1cwl">
      <w:r>
        <w:rPr>
          <w:rFonts w:ascii="Arial" w:cs="Arial" w:eastAsia="Arial" w:hAnsi="Arial"/>
          <w:color w:val="132D3F"/>
          <w:sz w:val="16"/>
          <w:szCs w:val="16"/>
          <w:u w:val="single"/>
        </w:rPr>
        <w:t xml:space="preserve">dalil.kg/document/800246</w:t>
      </w:r>
    </w:hyperlink>
  </w:p>
  <w:p>
    <w:pPr>
      <w:spacing w:after="0" w:before="40"/>
      <w:jc w:val="center"/>
    </w:pPr>
    <w:hyperlink w:history="1" r:id="rIdwupjtppwwoaijxlcv7vn_">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avyzn1yx4l7nlndl5tfg" Type="http://schemas.openxmlformats.org/officeDocument/2006/relationships/hyperlink" Target="https://dalil.kg/document/111486" TargetMode="External"/><Relationship Id="rId0pwwwx6iwc4jai5esbmek" Type="http://schemas.openxmlformats.org/officeDocument/2006/relationships/hyperlink" Target="https://dalil.kg/document/800246#p1" TargetMode="External"/><Relationship Id="rIdoe0qqktrib-acbwhheduc" Type="http://schemas.openxmlformats.org/officeDocument/2006/relationships/hyperlink" Target="https://dalil.kg/document/31372" TargetMode="External"/><Relationship Id="rIddgz2qcvmlzupm_2mvh4jr" Type="http://schemas.openxmlformats.org/officeDocument/2006/relationships/hyperlink" Target="https://dalil.kg/document/31371" TargetMode="External"/><Relationship Id="rIdd8spsz7vy6upxrwcujyso" Type="http://schemas.openxmlformats.org/officeDocument/2006/relationships/hyperlink" Target="https://dalil.kg/document/302508" TargetMode="External"/><Relationship Id="rId-4_dgo0zsilaff4lhj0ol" Type="http://schemas.openxmlformats.org/officeDocument/2006/relationships/hyperlink" Target="https://dalil.kg/document/302507" TargetMode="External"/><Relationship Id="rIdue-d3kapj9roy77v1w-ow" Type="http://schemas.openxmlformats.org/officeDocument/2006/relationships/hyperlink" Target="https://dalil.kg/document/302515" TargetMode="External"/><Relationship Id="rId8t-sdfxc6ykk9a8qpqnaz" Type="http://schemas.openxmlformats.org/officeDocument/2006/relationships/hyperlink" Target="https://dalil.kg/document/302514" TargetMode="External"/><Relationship Id="rIdt7ynbe0cjkdlihfwncau-" Type="http://schemas.openxmlformats.org/officeDocument/2006/relationships/hyperlink" Target="https://dalil.kg/document/31370" TargetMode="External"/><Relationship Id="rIdgm5xua1yvgvnvx1v5qstj" Type="http://schemas.openxmlformats.org/officeDocument/2006/relationships/hyperlink" Target="https://dalil.kg/document/31369" TargetMode="External"/><Relationship Id="rIdsdgasqvxxrbgpuutjgzxv" Type="http://schemas.openxmlformats.org/officeDocument/2006/relationships/hyperlink" Target="https://dalil.kg/document/302353" TargetMode="External"/><Relationship Id="rIdtsgc7yn22jaa9ai9odwqz" Type="http://schemas.openxmlformats.org/officeDocument/2006/relationships/hyperlink" Target="https://dalil.kg/document/31371" TargetMode="External"/><Relationship Id="rId75_hpvhcqgoqwv4-bpau1" Type="http://schemas.openxmlformats.org/officeDocument/2006/relationships/hyperlink" Target="https://dalil.kg/document/31372" TargetMode="External"/><Relationship Id="rIdifqra5yvjnycjieftowcz" Type="http://schemas.openxmlformats.org/officeDocument/2006/relationships/hyperlink" Target="https://dalil.kg/document/31372" TargetMode="External"/><Relationship Id="rIdr-xhuww2c9us01innfyc_" Type="http://schemas.openxmlformats.org/officeDocument/2006/relationships/hyperlink" Target="https://dalil.kg/document/31371" TargetMode="External"/><Relationship Id="rIdonfkcbua2byc3xxw6lnlg" Type="http://schemas.openxmlformats.org/officeDocument/2006/relationships/hyperlink" Target="https://dalil.kg/document/31372#p1" TargetMode="External"/><Relationship Id="rIdgkzyruie6trcakucla-2a" Type="http://schemas.openxmlformats.org/officeDocument/2006/relationships/hyperlink" Target="https://dalil.kg/document/31372" TargetMode="External"/><Relationship Id="rIda9z_j0o1qlnfsnsa8cmtp" Type="http://schemas.openxmlformats.org/officeDocument/2006/relationships/hyperlink" Target="https://dalil.kg/document/31372" TargetMode="External"/><Relationship Id="rIdmyh6vwcsefjwtqzmif--k" Type="http://schemas.openxmlformats.org/officeDocument/2006/relationships/hyperlink" Target="https://dalil.kg/document/31372" TargetMode="External"/><Relationship Id="rIdif51d1welja1weh74js3y" Type="http://schemas.openxmlformats.org/officeDocument/2006/relationships/hyperlink" Target="https://dalil.kg/document/302507" TargetMode="External"/><Relationship Id="rIdu0kdndb6ufx_b2wl4xdx-" Type="http://schemas.openxmlformats.org/officeDocument/2006/relationships/hyperlink" Target="https://dalil.kg/document/302508" TargetMode="External"/><Relationship Id="rIdp_goo3im7lqwqbgs9r5pg" Type="http://schemas.openxmlformats.org/officeDocument/2006/relationships/hyperlink" Target="https://dalil.kg/document/302508" TargetMode="External"/><Relationship Id="rId5y0dfoo9y8jg6yyd8nxjw" Type="http://schemas.openxmlformats.org/officeDocument/2006/relationships/hyperlink" Target="https://dalil.kg/document/302507" TargetMode="External"/><Relationship Id="rIdcpoohjpbvamaiin85j0x_" Type="http://schemas.openxmlformats.org/officeDocument/2006/relationships/hyperlink" Target="https://dalil.kg/document/302514" TargetMode="External"/><Relationship Id="rIdy0uslura5sbjd4ugqblys" Type="http://schemas.openxmlformats.org/officeDocument/2006/relationships/hyperlink" Target="https://dalil.kg/document/302515" TargetMode="External"/><Relationship Id="rId0katraqcw5biux_8_ls3f" Type="http://schemas.openxmlformats.org/officeDocument/2006/relationships/hyperlink" Target="https://dalil.kg/document/302515" TargetMode="External"/><Relationship Id="rId8l0b1zdlooukrq_-tvteb" Type="http://schemas.openxmlformats.org/officeDocument/2006/relationships/hyperlink" Target="https://dalil.kg/document/302514" TargetMode="External"/><Relationship Id="rIdyutktxd8vviwfddoxxgsb" Type="http://schemas.openxmlformats.org/officeDocument/2006/relationships/hyperlink" Target="https://dalil.kg/document/31369" TargetMode="External"/><Relationship Id="rIdfe2ndyzy1kan4aiphfqp9" Type="http://schemas.openxmlformats.org/officeDocument/2006/relationships/hyperlink" Target="https://dalil.kg/document/31370" TargetMode="External"/><Relationship Id="rId_r0xgtq0dxu_9nu4xcdsq" Type="http://schemas.openxmlformats.org/officeDocument/2006/relationships/hyperlink" Target="https://dalil.kg/document/31370" TargetMode="External"/><Relationship Id="rIdmyco_fw0qftu0vwjjia3_" Type="http://schemas.openxmlformats.org/officeDocument/2006/relationships/hyperlink" Target="https://dalil.kg/document/31369" TargetMode="External"/><Relationship Id="rIdkdzoyedmaglhrjyvrgw1c" Type="http://schemas.openxmlformats.org/officeDocument/2006/relationships/hyperlink" Target="https://dalil.kg/document/302353" TargetMode="External"/><Relationship Id="rId6gkuey2nbl9mxlfnfjgsv" Type="http://schemas.openxmlformats.org/officeDocument/2006/relationships/hyperlink" Target="https://dalil.kg/document/302354" TargetMode="External"/><Relationship Id="rIdscf3ytjs5fsmrhw_a8wf4" Type="http://schemas.openxmlformats.org/officeDocument/2006/relationships/hyperlink" Target="https://dalil.kg/document/302353" TargetMode="External"/><Relationship Id="rIdmms7ckjj9tmr7k71jvxoi" Type="http://schemas.openxmlformats.org/officeDocument/2006/relationships/hyperlink" Target="https://dalil.kg/document/302354" TargetMode="External"/><Relationship Id="rIdxgqpnygk5lbts6nriig1v" Type="http://schemas.openxmlformats.org/officeDocument/2006/relationships/hyperlink" Target="https://dalil.kg/document/p1" TargetMode="External"/><Relationship Id="rId7t11mvu0btrpcuhmpady8" Type="http://schemas.openxmlformats.org/officeDocument/2006/relationships/hyperlink" Target="https://dalil.kg/document/302354#p5" TargetMode="External"/><Relationship Id="rId8" Type="http://schemas.openxmlformats.org/officeDocument/2006/relationships/image" Target="media/8de64316e95979c063c17bcd5380dc052a2594e9.png"/><Relationship Id="rId4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nj08lyoztnpak5ie1cwl" Type="http://schemas.openxmlformats.org/officeDocument/2006/relationships/hyperlink" Target="https://dalil.kg/document/800246" TargetMode="External"/><Relationship Id="rIdwupjtppwwoaijxlcv7vn_"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2026-09-24T21:49:59.409Z</dcterms:created>
  <dcterms:modified xsi:type="dcterms:W3CDTF">2026-09-24T21:49:59.409Z</dcterms:modified>
</cp:coreProperties>
</file>

<file path=docProps/custom.xml><?xml version="1.0" encoding="utf-8"?>
<Properties xmlns="http://schemas.openxmlformats.org/officeDocument/2006/custom-properties" xmlns:vt="http://schemas.openxmlformats.org/officeDocument/2006/docPropsVTypes"/>
</file>