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апреля 2019 года № 2019-П-12/20-2-(НПА)</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68</w:t>
      </w:r>
      <w:r>
        <w:rPr>
          <w:rFonts w:ascii="Arial" w:cs="Arial" w:eastAsia="Arial" w:hAnsi="Arial"/>
          <w:sz w:val="24"/>
          <w:szCs w:val="24"/>
        </w:rPr>
        <w:t xml:space="preserve"> и </w:t>
      </w:r>
      <w:r>
        <w:rPr>
          <w:rFonts w:ascii="Arial" w:cs="Arial" w:eastAsia="Arial" w:hAnsi="Arial"/>
          <w:sz w:val="24"/>
          <w:szCs w:val="24"/>
        </w:rPr>
        <w:t xml:space="preserve">136</w:t>
      </w:r>
      <w:r>
        <w:rPr>
          <w:rFonts w:ascii="Arial" w:cs="Arial" w:eastAsia="Arial" w:hAnsi="Arial"/>
          <w:sz w:val="24"/>
          <w:szCs w:val="24"/>
        </w:rPr>
        <w:t xml:space="preserve"> </w:t>
      </w:r>
      <w:hyperlink w:history="1" r:id="rIdlwvvr6y5yl5x0f3zpykt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w:t>
      </w:r>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w:t>
      </w:r>
      <w:r>
        <w:rPr>
          <w:rFonts w:ascii="Arial" w:cs="Arial" w:eastAsia="Arial" w:hAnsi="Arial"/>
          <w:sz w:val="24"/>
          <w:szCs w:val="24"/>
        </w:rPr>
        <w:t xml:space="preserve">от 21 июля 2004 года № 18/1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w:t>
      </w:r>
      <w:r>
        <w:rPr>
          <w:rFonts w:ascii="Arial" w:cs="Arial" w:eastAsia="Arial" w:hAnsi="Arial"/>
          <w:sz w:val="24"/>
          <w:szCs w:val="24"/>
        </w:rPr>
        <w:t xml:space="preserve">от 21 июля 2004 года № 18/2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w:t>
      </w:r>
      <w:r>
        <w:rPr>
          <w:rFonts w:ascii="Arial" w:cs="Arial" w:eastAsia="Arial" w:hAnsi="Arial"/>
          <w:sz w:val="24"/>
          <w:szCs w:val="24"/>
        </w:rPr>
        <w:t xml:space="preserve">21 июля 2004 года № 18/3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wuhsfa_unrk43jqdki7h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w:t>
      </w:r>
      <w:r>
        <w:rPr>
          <w:rFonts w:ascii="Arial" w:cs="Arial" w:eastAsia="Arial" w:hAnsi="Arial"/>
          <w:sz w:val="24"/>
          <w:szCs w:val="24"/>
        </w:rPr>
        <w:t xml:space="preserve">от 27 ноября 2013 года № 45/13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его официального опубликования, действует до 16 июля 2020 года и распространяется только на облигации с ипотечным покрытием, выпущенные ОАО "Государственная Ипотечная Компания" по эмиссии, зарегистрированной 29 июня 2018 года.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Государственного банка развития Кыргызской Республики, ОЮЛ "Союз банков Кыргызстана",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15 апреля 2019 года № 2019-П-12/20-2-(НПА)</w:t>
      </w:r>
    </w:p>
    <w:p>
      <w:pPr>
        <w:spacing w:after="120"/>
        <w:jc w:val="both"/>
      </w:pPr>
      <w:r>
        <w:rPr>
          <w:rFonts w:ascii="Arial" w:cs="Arial" w:eastAsia="Arial" w:hAnsi="Arial"/>
          <w:sz w:val="24"/>
          <w:szCs w:val="24"/>
        </w:rPr>
        <w:t xml:space="preserve">ИЗМЕНЕНИЯ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следующее изменение:</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1 пункта 4.2 дополнить абзацем одиннадцатым следующего содержания:</w:t>
      </w:r>
    </w:p>
    <w:p>
      <w:pPr>
        <w:spacing w:after="120"/>
        <w:jc w:val="both"/>
      </w:pPr>
      <w:r>
        <w:rPr>
          <w:rFonts w:ascii="Arial" w:cs="Arial" w:eastAsia="Arial" w:hAnsi="Arial"/>
          <w:sz w:val="24"/>
          <w:szCs w:val="24"/>
        </w:rPr>
        <w:t xml:space="preserve">"- облигации с ипотечным покрытием, выпущенные ОАО "Государственная Ипотечная Компания".</w:t>
      </w:r>
    </w:p>
    <w:p>
      <w:pPr>
        <w:spacing w:after="120"/>
        <w:jc w:val="both"/>
      </w:pPr>
      <w:r>
        <w:rPr>
          <w:rFonts w:ascii="Arial" w:cs="Arial" w:eastAsia="Arial" w:hAnsi="Arial"/>
          <w:sz w:val="24"/>
          <w:szCs w:val="24"/>
        </w:rPr>
        <w:t xml:space="preserve">При этом облигации с ипотечным покрытием, выпущенные ОАО "Государственная ипотечная компания", должны быть классифицированы как "нормальный актив" в соответствии с условиями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21 июля 2004 года № 18/3. Облигации с ипотечным покрытием, выпущенные ОАО "Государственная Ипотечная Компания", классифицированные не в категории "нормальный актив", не включаются в состав ликвидных активов.".</w:t>
      </w:r>
    </w:p>
    <w:p>
      <w:pPr>
        <w:spacing w:after="120"/>
        <w:jc w:val="both"/>
      </w:pPr>
      <w:r>
        <w:rPr>
          <w:rFonts w:ascii="Arial" w:cs="Arial" w:eastAsia="Arial" w:hAnsi="Arial"/>
          <w:sz w:val="24"/>
          <w:szCs w:val="24"/>
        </w:rPr>
        <w:t xml:space="preserve">2.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 следующее изменение:</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1 пункта 4.3 дополнить абзацем "и" следующего содержания:</w:t>
      </w:r>
    </w:p>
    <w:p>
      <w:pPr>
        <w:spacing w:after="120"/>
        <w:jc w:val="both"/>
      </w:pPr>
      <w:r>
        <w:rPr>
          <w:rFonts w:ascii="Arial" w:cs="Arial" w:eastAsia="Arial" w:hAnsi="Arial"/>
          <w:sz w:val="24"/>
          <w:szCs w:val="24"/>
        </w:rPr>
        <w:t xml:space="preserve">"и) облигации с ипотечным покрытием, выпущенные ОАО "Государственная Ипотечная Компания".</w:t>
      </w:r>
    </w:p>
    <w:p>
      <w:pPr>
        <w:spacing w:after="120"/>
        <w:jc w:val="both"/>
      </w:pPr>
      <w:r>
        <w:rPr>
          <w:rFonts w:ascii="Arial" w:cs="Arial" w:eastAsia="Arial" w:hAnsi="Arial"/>
          <w:sz w:val="24"/>
          <w:szCs w:val="24"/>
        </w:rPr>
        <w:t xml:space="preserve">При этом облигации с ипотечным покрытием, выпущенные ОАО "Государственная Ипотечная Компания", должны быть классифицированы как "нормальный актив" в соответствии с условиями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21 июля 2004 года № 18/3";</w:t>
      </w:r>
    </w:p>
    <w:p>
      <w:pPr>
        <w:spacing w:after="120"/>
        <w:jc w:val="both"/>
      </w:pPr>
      <w:r>
        <w:rPr>
          <w:rFonts w:ascii="Arial" w:cs="Arial" w:eastAsia="Arial" w:hAnsi="Arial"/>
          <w:sz w:val="24"/>
          <w:szCs w:val="24"/>
        </w:rPr>
        <w:t xml:space="preserve">- подпункт 4 пункта 4.3 дополнить абзацем "г" следующего содержания:</w:t>
      </w:r>
    </w:p>
    <w:p>
      <w:pPr>
        <w:spacing w:after="120"/>
        <w:jc w:val="both"/>
      </w:pPr>
      <w:r>
        <w:rPr>
          <w:rFonts w:ascii="Arial" w:cs="Arial" w:eastAsia="Arial" w:hAnsi="Arial"/>
          <w:sz w:val="24"/>
          <w:szCs w:val="24"/>
        </w:rPr>
        <w:t xml:space="preserve">"г) облигации с ипотечным покрытием, выпущенные ОАО "Государственная Ипотечная Компания", классифицированные не в категории "нормальный актив" в соответствии с условиями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21 июля 2004 года № 18/3.".</w:t>
      </w:r>
    </w:p>
    <w:p>
      <w:pPr>
        <w:spacing w:after="120"/>
        <w:jc w:val="both"/>
      </w:pPr>
      <w:r>
        <w:rPr>
          <w:rFonts w:ascii="Arial" w:cs="Arial" w:eastAsia="Arial" w:hAnsi="Arial"/>
          <w:sz w:val="24"/>
          <w:szCs w:val="24"/>
        </w:rPr>
        <w:t xml:space="preserve">3.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следующее изменение:</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утвержденное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пунктом 4.1.3 следующего содержания:</w:t>
      </w:r>
    </w:p>
    <w:p>
      <w:pPr>
        <w:spacing w:after="120"/>
        <w:jc w:val="both"/>
      </w:pPr>
      <w:r>
        <w:rPr>
          <w:rFonts w:ascii="Arial" w:cs="Arial" w:eastAsia="Arial" w:hAnsi="Arial"/>
          <w:sz w:val="24"/>
          <w:szCs w:val="24"/>
        </w:rPr>
        <w:t xml:space="preserve">"4.1.3. Банк может классифицировать облигации с ипотечным покрытием, выпущенные ОАО "Государственная Ипотечная Компания" как "нормальный актив" с формированием РППУ в размере 0%.</w:t>
      </w:r>
    </w:p>
    <w:p>
      <w:pPr>
        <w:spacing w:after="120"/>
        <w:jc w:val="both"/>
      </w:pPr>
      <w:r>
        <w:rPr>
          <w:rFonts w:ascii="Arial" w:cs="Arial" w:eastAsia="Arial" w:hAnsi="Arial"/>
          <w:sz w:val="24"/>
          <w:szCs w:val="24"/>
        </w:rPr>
        <w:t xml:space="preserve">При этом должны выполняться следующие условия:</w:t>
      </w:r>
    </w:p>
    <w:p>
      <w:pPr>
        <w:spacing w:after="120"/>
        <w:jc w:val="both"/>
      </w:pPr>
      <w:r>
        <w:rPr>
          <w:rFonts w:ascii="Arial" w:cs="Arial" w:eastAsia="Arial" w:hAnsi="Arial"/>
          <w:sz w:val="24"/>
          <w:szCs w:val="24"/>
        </w:rPr>
        <w:t xml:space="preserve">- банк проводит ежемесячный мониторинг залога ипотечного покрытия для контроля обеспечения покрытия стоимости облигации с ипотечным покрытием в размере не менее 120%;</w:t>
      </w:r>
    </w:p>
    <w:p>
      <w:pPr>
        <w:spacing w:after="120"/>
        <w:jc w:val="both"/>
      </w:pPr>
      <w:r>
        <w:rPr>
          <w:rFonts w:ascii="Arial" w:cs="Arial" w:eastAsia="Arial" w:hAnsi="Arial"/>
          <w:sz w:val="24"/>
          <w:szCs w:val="24"/>
        </w:rPr>
        <w:t xml:space="preserve">- весь актив, входящий в залог ипотечного покрытия, должен быть, как минимум, в категории "удовлетворительный".</w:t>
      </w:r>
    </w:p>
    <w:p>
      <w:pPr>
        <w:spacing w:after="120"/>
        <w:jc w:val="both"/>
      </w:pPr>
      <w:r>
        <w:rPr>
          <w:rFonts w:ascii="Arial" w:cs="Arial" w:eastAsia="Arial" w:hAnsi="Arial"/>
          <w:sz w:val="24"/>
          <w:szCs w:val="24"/>
        </w:rPr>
        <w:t xml:space="preserve">В случае несоответствия залога ипотечного покрытия облигаций с ипотечным покрытием указанным условиям классификация должна осуществляться согласно установленным требованиям Национального банка.".</w:t>
      </w:r>
    </w:p>
    <w:p>
      <w:pPr>
        <w:spacing w:after="120"/>
        <w:jc w:val="both"/>
      </w:pPr>
      <w:r>
        <w:rPr>
          <w:rFonts w:ascii="Arial" w:cs="Arial" w:eastAsia="Arial" w:hAnsi="Arial"/>
          <w:sz w:val="24"/>
          <w:szCs w:val="24"/>
        </w:rPr>
        <w:t xml:space="preserve">4. Внести в </w:t>
      </w:r>
      <w:hyperlink w:history="1" r:id="rIdsezlv0klzpati7d6ksb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e61zgmesev5z27nic_km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следующее изменение:</w:t>
      </w:r>
    </w:p>
    <w:p>
      <w:pPr>
        <w:spacing w:after="120"/>
        <w:jc w:val="both"/>
      </w:pPr>
      <w:r>
        <w:rPr>
          <w:rFonts w:ascii="Arial" w:cs="Arial" w:eastAsia="Arial" w:hAnsi="Arial"/>
          <w:sz w:val="24"/>
          <w:szCs w:val="24"/>
        </w:rPr>
        <w:t xml:space="preserve">в </w:t>
      </w:r>
      <w:hyperlink w:history="1" r:id="rIdwnhh0lzk_73hb5qixrzu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w:t>
      </w:r>
      <w:hyperlink w:history="1" r:id="rIdu71saj0ah1pnhmzex4wqm">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подпункт 2 пункта 41 изложить в следующей редакции:</w:t>
      </w:r>
    </w:p>
    <w:p>
      <w:pPr>
        <w:spacing w:after="120"/>
        <w:jc w:val="both"/>
      </w:pPr>
      <w:r>
        <w:rPr>
          <w:rFonts w:ascii="Arial" w:cs="Arial" w:eastAsia="Arial" w:hAnsi="Arial"/>
          <w:sz w:val="24"/>
          <w:szCs w:val="24"/>
        </w:rPr>
        <w:t xml:space="preserve">"2) Государственные ценные бумаги Правительства Кыргызской Республики, ноты Национального банка, муниципальные ценные бумаги, выпущенные мэрией города Бишкек, имеющие листинг и котируемые на лицензированной торговой площадке Кыргызской Республики, и облигации с ипотечным покрытием, выпущенные ОАО "Государственная Ипотечная Компания" (далее - ценные бумаги);";</w:t>
      </w:r>
    </w:p>
    <w:p>
      <w:pPr>
        <w:spacing w:after="120"/>
        <w:jc w:val="both"/>
      </w:pPr>
      <w:r>
        <w:rPr>
          <w:rFonts w:ascii="Arial" w:cs="Arial" w:eastAsia="Arial" w:hAnsi="Arial"/>
          <w:sz w:val="24"/>
          <w:szCs w:val="24"/>
        </w:rPr>
        <w:t xml:space="preserve">- </w:t>
      </w:r>
      <w:hyperlink w:history="1" r:id="rIdbfcl3dv-1owf-3wqge5e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t1av7qb7ixvd5xxeqn30u">
        <w:r>
          <w:rPr>
            <w:rFonts w:ascii="Arial" w:cs="Arial" w:eastAsia="Arial" w:hAnsi="Arial"/>
            <w:color w:val="1D4ED8"/>
            <w:sz w:val="24"/>
            <w:szCs w:val="24"/>
            <w:u w:val="single"/>
          </w:rPr>
          <w:t xml:space="preserve">Приложением 9</w:t>
        </w:r>
      </w:hyperlink>
      <w:r>
        <w:rPr>
          <w:rFonts w:ascii="Arial" w:cs="Arial" w:eastAsia="Arial" w:hAnsi="Arial"/>
          <w:sz w:val="24"/>
          <w:szCs w:val="24"/>
        </w:rPr>
        <w:t xml:space="preserve"> к Генеральному соглашению о кредитном аукционе следующего содержания:</w:t>
      </w:r>
    </w:p>
    <w:p>
      <w:pPr>
        <w:spacing w:after="120"/>
        <w:jc w:val="right"/>
      </w:pPr>
      <w:hyperlink w:history="1" r:id="rIdal3cehmlfh9inswphnxu2">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 Генеральному соглашению о кредитном аукционе
 от "___" ______________ 20__ г. № ____</w:t>
      </w:r>
    </w:p>
    <w:p>
      <w:pPr>
        <w:spacing w:after="120"/>
        <w:jc w:val="both"/>
      </w:pPr>
      <w:r>
        <w:rPr>
          <w:rFonts w:ascii="Arial" w:cs="Arial" w:eastAsia="Arial" w:hAnsi="Arial"/>
          <w:sz w:val="24"/>
          <w:szCs w:val="24"/>
        </w:rPr>
        <w:t xml:space="preserve">ДОГОВОР О ЗАЛОГЕ № _____
 к Кредитному договору от "___" ________________ 20__ г. № ______
 (договор залога облигаций с ипотечным покрытием, выпущенных ОАО "Государственная ипотечная компания")</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______________________________, действующего на основании ______________________________, с одной стороны, и ___________________________, именуемое в дальнейшем "Банк" или "Залогодатель", в лице __________________, действующего на основании _________________________, с другой стороны, далее совместно именуемые "Стороны", заключили настоящий Договор о залоге облигаций с ипотечным покрытием, выпущенных ОАО "Государственная Ипотечная Компания" (далее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Залогодержатель предоставил Залогодателю кредит в размере 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"___" ___________________ года № _______ (далее - Кредитный договор), заключенном в рамках Генерального соглашения от _________________ года № ______ (далее - Генеральное соглашение).</w:t>
      </w:r>
    </w:p>
    <w:p>
      <w:pPr>
        <w:spacing w:after="120"/>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облигации с ипотечным покрытием, выпущенные ОАО "Государственная Ипотечная Компания" (далее - ценные бумаги), с указанием общего объема выпущенных облигаций, номинальной стоимости, срока обращения, порядка выплаты доходов: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1702"/>
        <w:gridCol w:w="1063"/>
        <w:gridCol w:w="1242"/>
        <w:gridCol w:w="1336"/>
        <w:gridCol w:w="1566"/>
        <w:gridCol w:w="1598"/>
        <w:gridCol w:w="1120"/>
      </w:tblGrid>
      <w:tr>
        <w:tc>
          <w:tcPr>
            <w:tcW w:type="dxa" w:w="5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
 п/п</w:t>
            </w:r>
          </w:p>
        </w:tc>
        <w:tc>
          <w:tcPr>
            <w:tcW w:type="dxa" w:w="1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выпуска ценных бумаг</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погашения ценных бумаг</w:t>
            </w:r>
          </w:p>
        </w:tc>
        <w:tc>
          <w:tcPr>
            <w:tcW w:type="dxa" w:w="13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ценных бумаг (штук)</w:t>
            </w:r>
          </w:p>
        </w:tc>
        <w:tc>
          <w:tcPr>
            <w:tcW w:type="dxa" w:w="15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цена 1 ценной бумаги (сом)</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стоимость ценных бумаг (сом)</w:t>
            </w:r>
          </w:p>
        </w:tc>
        <w:tc>
          <w:tcPr>
            <w:tcW w:type="dxa" w:w="11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выплаты доходов</w:t>
            </w:r>
          </w:p>
        </w:tc>
      </w:tr>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120"/>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120"/>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120"/>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Залогодатель обязан:</w:t>
      </w:r>
    </w:p>
    <w:p>
      <w:pPr>
        <w:spacing w:after="120"/>
        <w:jc w:val="both"/>
      </w:pPr>
      <w:r>
        <w:rPr>
          <w:rFonts w:ascii="Arial" w:cs="Arial" w:eastAsia="Arial" w:hAnsi="Arial"/>
          <w:sz w:val="24"/>
          <w:szCs w:val="24"/>
        </w:rPr>
        <w:t xml:space="preserve">2.1.1. Исполнить надлежащим образом Кредитный договор, Генеральное соглашение и погасить полностью задолженность перед Залогодержателем.</w:t>
      </w:r>
    </w:p>
    <w:p>
      <w:pPr>
        <w:spacing w:after="120"/>
        <w:jc w:val="both"/>
      </w:pPr>
      <w:r>
        <w:rPr>
          <w:rFonts w:ascii="Arial" w:cs="Arial" w:eastAsia="Arial" w:hAnsi="Arial"/>
          <w:sz w:val="24"/>
          <w:szCs w:val="24"/>
        </w:rPr>
        <w:t xml:space="preserve">2.1.2.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120"/>
        <w:jc w:val="both"/>
      </w:pPr>
      <w:r>
        <w:rPr>
          <w:rFonts w:ascii="Arial" w:cs="Arial" w:eastAsia="Arial" w:hAnsi="Arial"/>
          <w:sz w:val="24"/>
          <w:szCs w:val="24"/>
        </w:rPr>
        <w:t xml:space="preserve">2.1.3.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120"/>
        <w:jc w:val="both"/>
      </w:pPr>
      <w:r>
        <w:rPr>
          <w:rFonts w:ascii="Arial" w:cs="Arial" w:eastAsia="Arial" w:hAnsi="Arial"/>
          <w:sz w:val="24"/>
          <w:szCs w:val="24"/>
        </w:rPr>
        <w:t xml:space="preserve">2.1.4. Залогодатель гарантирует и дает свое полное согласие на безотлагательное (бесспорное) внесудебное обращение взыскания на ценные бумаги, обеспеченные ипотечным покрытием,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120"/>
        <w:jc w:val="both"/>
      </w:pPr>
      <w:r>
        <w:rPr>
          <w:rFonts w:ascii="Arial" w:cs="Arial" w:eastAsia="Arial" w:hAnsi="Arial"/>
          <w:sz w:val="24"/>
          <w:szCs w:val="24"/>
        </w:rPr>
        <w:t xml:space="preserve">2.1.5. В случаях, указанных в настоящем Договоре, Залогодатель обязуется в полном или частичном объеме заменить на ценные бумаги, на муниципальные ценные бумаги, государственные казначейские векселя, государственные казначейские облигации и ноты Национального банка и/или другой приемлемый для Залогодержателя залог, при этом заключив дополнительное соглашение.</w:t>
      </w:r>
    </w:p>
    <w:p>
      <w:pPr>
        <w:spacing w:after="120"/>
        <w:jc w:val="both"/>
      </w:pPr>
      <w:r>
        <w:rPr>
          <w:rFonts w:ascii="Arial" w:cs="Arial" w:eastAsia="Arial" w:hAnsi="Arial"/>
          <w:sz w:val="24"/>
          <w:szCs w:val="24"/>
        </w:rPr>
        <w:t xml:space="preserve">2.1.6. Реестродержатель проводит регистрацию настоящего договора о залоге и последующее запрещение использования данных ценных бумаг, а также осуществляет иные функции, предусмотренные законодательством об ипотечных ценных бумагах.</w:t>
      </w:r>
    </w:p>
    <w:p>
      <w:pPr>
        <w:spacing w:after="120"/>
        <w:jc w:val="both"/>
      </w:pPr>
      <w:r>
        <w:rPr>
          <w:rFonts w:ascii="Arial" w:cs="Arial" w:eastAsia="Arial" w:hAnsi="Arial"/>
          <w:sz w:val="24"/>
          <w:szCs w:val="24"/>
        </w:rPr>
        <w:t xml:space="preserve">2.1.7.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120"/>
        <w:jc w:val="both"/>
      </w:pPr>
      <w:r>
        <w:rPr>
          <w:rFonts w:ascii="Arial" w:cs="Arial" w:eastAsia="Arial" w:hAnsi="Arial"/>
          <w:sz w:val="24"/>
          <w:szCs w:val="24"/>
        </w:rPr>
        <w:t xml:space="preserve">2.1.8.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ценные бумаги (муниципальные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или другой приемлемый для Залогодержателя залог. При этом замену ценных бумаг необходимо осуществить за 20 (двадцать) рабочих дней до наступления даты погашения ценных бумаг соответствующей эмиссии/соответствующих эмиссий.</w:t>
      </w:r>
    </w:p>
    <w:p>
      <w:pPr>
        <w:spacing w:after="120"/>
        <w:jc w:val="both"/>
      </w:pPr>
      <w:r>
        <w:rPr>
          <w:rFonts w:ascii="Arial" w:cs="Arial" w:eastAsia="Arial" w:hAnsi="Arial"/>
          <w:sz w:val="24"/>
          <w:szCs w:val="24"/>
        </w:rPr>
        <w:t xml:space="preserve">2.2. По заложенным ценным бумагам Залогодатель имеет право получать фиксированные проценты от их номинальной стоимости.</w:t>
      </w:r>
    </w:p>
    <w:p>
      <w:pPr>
        <w:spacing w:after="120"/>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120"/>
        <w:jc w:val="both"/>
      </w:pPr>
      <w:r>
        <w:rPr>
          <w:rFonts w:ascii="Arial" w:cs="Arial" w:eastAsia="Arial" w:hAnsi="Arial"/>
          <w:sz w:val="24"/>
          <w:szCs w:val="24"/>
        </w:rPr>
        <w:t xml:space="preserve">2.4. Нести риск утраты или уменьшения стоимости Предметов залога и в случае утраты или возникновения иных обстоятельств, повлекших обесценивание ценных бумаг либо несоответствие ценных бумаг категории классификации "нормальные", согласно Положению о классификации активов и соответствующих отчисления в резерв на покрытие потенциальных потерь и убытков, утвержденному постановлением Правления Национального банка Кыргызской Республики от 21 июля 2004 года № 18/3, предоставить с согласия Залогодержателя другое обеспечение, по своей стоимости эквивалентное стоимости ценных бумаг, в сроки, предусмотренные в пункте 4.1 настоящего Договора.</w:t>
      </w:r>
    </w:p>
    <w:p>
      <w:pPr>
        <w:spacing w:after="120"/>
        <w:jc w:val="both"/>
      </w:pPr>
      <w:r>
        <w:rPr>
          <w:rFonts w:ascii="Arial" w:cs="Arial" w:eastAsia="Arial" w:hAnsi="Arial"/>
          <w:sz w:val="24"/>
          <w:szCs w:val="24"/>
        </w:rPr>
        <w:t xml:space="preserve">2.5. Информировать Залогодержателя до 10 (десятого) числа каждого квартала о подтверждении выполнения Залогодателем мероприятий, указанных в п.4.1.3. Положения о классификации активов и соответствующих отчислениях в резерв на покрытие потенциальных потерь и убытков, утвержденного постановлением Правления Национального банка Кыргызской Республики от 21 июля 2004 года № 18/3 и классификации ипотечного покрытия по ценным бумагам с предоставлением отчета согласно Приложению 1.</w:t>
      </w:r>
    </w:p>
    <w:p>
      <w:pPr>
        <w:spacing w:after="120"/>
        <w:jc w:val="both"/>
      </w:pPr>
      <w:r>
        <w:rPr>
          <w:rFonts w:ascii="Arial" w:cs="Arial" w:eastAsia="Arial" w:hAnsi="Arial"/>
          <w:sz w:val="24"/>
          <w:szCs w:val="24"/>
        </w:rPr>
        <w:t xml:space="preserve">2.6.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4.1. настоящего Договора.</w:t>
      </w:r>
    </w:p>
    <w:p>
      <w:pPr>
        <w:spacing w:after="120"/>
        <w:jc w:val="both"/>
      </w:pPr>
      <w:r>
        <w:rPr>
          <w:rFonts w:ascii="Arial" w:cs="Arial" w:eastAsia="Arial" w:hAnsi="Arial"/>
          <w:sz w:val="24"/>
          <w:szCs w:val="24"/>
        </w:rPr>
        <w:t xml:space="preserve">2.7.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120"/>
        <w:jc w:val="both"/>
      </w:pPr>
      <w:r>
        <w:rPr>
          <w:rFonts w:ascii="Arial" w:cs="Arial" w:eastAsia="Arial" w:hAnsi="Arial"/>
          <w:sz w:val="24"/>
          <w:szCs w:val="24"/>
        </w:rPr>
        <w:t xml:space="preserve">2.8. Залогодержатель имеет право:</w:t>
      </w:r>
    </w:p>
    <w:p>
      <w:pPr>
        <w:spacing w:after="120"/>
        <w:jc w:val="both"/>
      </w:pPr>
      <w:r>
        <w:rPr>
          <w:rFonts w:ascii="Arial" w:cs="Arial" w:eastAsia="Arial" w:hAnsi="Arial"/>
          <w:sz w:val="24"/>
          <w:szCs w:val="24"/>
        </w:rPr>
        <w:t xml:space="preserve">2.8.1. Потребовать от Залогодателя досрочного исполнения обязательств, оговоренных в настоящем Договоре, а если его требование не будет удовлетворено, обратить взыскание на ценные бумаги в следующих случаях:</w:t>
      </w:r>
    </w:p>
    <w:p>
      <w:pPr>
        <w:spacing w:after="120"/>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120"/>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120"/>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2.8.2.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120"/>
        <w:jc w:val="both"/>
      </w:pPr>
      <w:r>
        <w:rPr>
          <w:rFonts w:ascii="Arial" w:cs="Arial" w:eastAsia="Arial" w:hAnsi="Arial"/>
          <w:sz w:val="24"/>
          <w:szCs w:val="24"/>
        </w:rPr>
        <w:t xml:space="preserve">2.8.3. Передать свои права по настоящему Договору третьему лицу.</w:t>
      </w:r>
    </w:p>
    <w:p>
      <w:pPr>
        <w:spacing w:after="120"/>
        <w:jc w:val="both"/>
      </w:pPr>
      <w:r>
        <w:rPr>
          <w:rFonts w:ascii="Arial" w:cs="Arial" w:eastAsia="Arial" w:hAnsi="Arial"/>
          <w:sz w:val="24"/>
          <w:szCs w:val="24"/>
        </w:rPr>
        <w:t xml:space="preserve">2.8.4.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 с учетом условий их выпуска (эмиссии).</w:t>
      </w:r>
    </w:p>
    <w:p>
      <w:pPr>
        <w:spacing w:after="120"/>
        <w:jc w:val="both"/>
      </w:pPr>
      <w:r>
        <w:rPr>
          <w:rFonts w:ascii="Arial" w:cs="Arial" w:eastAsia="Arial" w:hAnsi="Arial"/>
          <w:sz w:val="24"/>
          <w:szCs w:val="24"/>
        </w:rPr>
        <w:t xml:space="preserve">2.9.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120"/>
        <w:jc w:val="both"/>
      </w:pPr>
      <w:r>
        <w:rPr>
          <w:rFonts w:ascii="Arial" w:cs="Arial" w:eastAsia="Arial" w:hAnsi="Arial"/>
          <w:sz w:val="24"/>
          <w:szCs w:val="24"/>
        </w:rPr>
        <w:t xml:space="preserve">3. Условия залога</w:t>
      </w:r>
    </w:p>
    <w:p>
      <w:pPr>
        <w:spacing w:after="120"/>
        <w:jc w:val="both"/>
      </w:pPr>
      <w:r>
        <w:rPr>
          <w:rFonts w:ascii="Arial" w:cs="Arial" w:eastAsia="Arial" w:hAnsi="Arial"/>
          <w:sz w:val="24"/>
          <w:szCs w:val="24"/>
        </w:rPr>
        <w:t xml:space="preserve">3.1. Стороны согласились с тем, что при предоставлении в залог ценных бумаг Залогодатель предоставит документ, подтверждающий право на владение ценными бумагами, а также по требованию Залогодержателя - другие документы, предусмотренные законодательством об ипотечных ценных бумагах.</w:t>
      </w:r>
    </w:p>
    <w:p>
      <w:pPr>
        <w:spacing w:after="120"/>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и оформление при этом несет Залогодатель.</w:t>
      </w:r>
    </w:p>
    <w:p>
      <w:pPr>
        <w:spacing w:after="120"/>
        <w:jc w:val="both"/>
      </w:pPr>
      <w:r>
        <w:rPr>
          <w:rFonts w:ascii="Arial" w:cs="Arial" w:eastAsia="Arial" w:hAnsi="Arial"/>
          <w:sz w:val="24"/>
          <w:szCs w:val="24"/>
        </w:rPr>
        <w:t xml:space="preserve">3.3. В случае неисполнения Залогодателем требований, предусмотренных в пункте 2.1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счете Залогодателя у реестродержателя, который осуществляет хранение и учет ценных бумаг, Стороны уполномочили реестродержателя перечислить сумму номинальной стоимости указанных ценных бумаг со счета Залогодателя на счет Залогодержателя.</w:t>
      </w:r>
    </w:p>
    <w:p>
      <w:pPr>
        <w:spacing w:after="120"/>
        <w:jc w:val="both"/>
      </w:pPr>
      <w:r>
        <w:rPr>
          <w:rFonts w:ascii="Arial" w:cs="Arial" w:eastAsia="Arial" w:hAnsi="Arial"/>
          <w:sz w:val="24"/>
          <w:szCs w:val="24"/>
        </w:rPr>
        <w:t xml:space="preserve">3.4. Стороны согласились, что сборы за регистрацию настоящего Договора, хранение и учет ценных бумаг и другие расходы у реестродержателя, а также любые другие расходы, связанные с исполнением настоящего Договора, оплачивает Залогодатель.</w:t>
      </w:r>
    </w:p>
    <w:p>
      <w:pPr>
        <w:spacing w:after="120"/>
        <w:jc w:val="both"/>
      </w:pPr>
      <w:r>
        <w:rPr>
          <w:rFonts w:ascii="Arial" w:cs="Arial" w:eastAsia="Arial" w:hAnsi="Arial"/>
          <w:sz w:val="24"/>
          <w:szCs w:val="24"/>
        </w:rPr>
        <w:t xml:space="preserve">4. Порядок замены залогового обеспечения</w:t>
      </w:r>
    </w:p>
    <w:p>
      <w:pPr>
        <w:spacing w:after="120"/>
        <w:jc w:val="both"/>
      </w:pPr>
      <w:r>
        <w:rPr>
          <w:rFonts w:ascii="Arial" w:cs="Arial" w:eastAsia="Arial" w:hAnsi="Arial"/>
          <w:sz w:val="24"/>
          <w:szCs w:val="24"/>
        </w:rPr>
        <w:t xml:space="preserve">4.1. В течение срока действия настоящего Договора при выявлении ухудшения классификации ценных бумаг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pPr>
        <w:spacing w:after="120"/>
        <w:jc w:val="both"/>
      </w:pPr>
      <w:r>
        <w:rPr>
          <w:rFonts w:ascii="Arial" w:cs="Arial" w:eastAsia="Arial" w:hAnsi="Arial"/>
          <w:sz w:val="24"/>
          <w:szCs w:val="24"/>
        </w:rPr>
        <w:t xml:space="preserve">Залогодатель в течение 10 (десяти)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и оформить, а также зарегистрировать Договор о предоставлении дополнительного залога в соответствии с пунктом 3.2 Генерального соглашения либо досрочно погасить соответствующую часть кредита, полученного Залогодателем от Залогодержателя, согласно Кредитному договору о предоставлении кредита.</w:t>
      </w:r>
    </w:p>
    <w:p>
      <w:pPr>
        <w:spacing w:after="120"/>
        <w:jc w:val="both"/>
      </w:pPr>
      <w:r>
        <w:rPr>
          <w:rFonts w:ascii="Arial" w:cs="Arial" w:eastAsia="Arial" w:hAnsi="Arial"/>
          <w:sz w:val="24"/>
          <w:szCs w:val="24"/>
        </w:rP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первым настоящего пункта в случае, если другие виды залога (с учетом применяемых Залогодержателем соответствующих залоговых 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 о предоставлении кредита.</w:t>
      </w:r>
    </w:p>
    <w:p>
      <w:pPr>
        <w:spacing w:after="120"/>
        <w:jc w:val="both"/>
      </w:pPr>
      <w:r>
        <w:rPr>
          <w:rFonts w:ascii="Arial" w:cs="Arial" w:eastAsia="Arial" w:hAnsi="Arial"/>
          <w:sz w:val="24"/>
          <w:szCs w:val="24"/>
        </w:rPr>
        <w:t xml:space="preserve">5. Ответственность Сторон</w:t>
      </w:r>
    </w:p>
    <w:p>
      <w:pPr>
        <w:spacing w:after="120"/>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5.2.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120"/>
        <w:jc w:val="both"/>
      </w:pPr>
      <w:r>
        <w:rPr>
          <w:rFonts w:ascii="Arial" w:cs="Arial" w:eastAsia="Arial" w:hAnsi="Arial"/>
          <w:sz w:val="24"/>
          <w:szCs w:val="24"/>
        </w:rPr>
        <w:t xml:space="preserve">5.3. В случае неисполнения либо ненадлежащего исполнения Залогодателем обязательств, предусмотренных пунктом 2.1 и другими пунктами настоящего Договора, Залогодатель уплачивает Залогодержателю пеню в размере 0,05 процента от номинальной стоимости ценных бумаг, указанных в пункте 1.2 настоящего Договора, за каждый день просрочки (неисполнение своих обязательств).</w:t>
      </w:r>
    </w:p>
    <w:p>
      <w:pPr>
        <w:spacing w:after="120"/>
        <w:jc w:val="both"/>
      </w:pPr>
      <w:r>
        <w:rPr>
          <w:rFonts w:ascii="Arial" w:cs="Arial" w:eastAsia="Arial" w:hAnsi="Arial"/>
          <w:sz w:val="24"/>
          <w:szCs w:val="24"/>
        </w:rPr>
        <w:t xml:space="preserve">6. Порядок обращения взыскания на предметы залога</w:t>
      </w:r>
    </w:p>
    <w:p>
      <w:pPr>
        <w:spacing w:after="120"/>
        <w:jc w:val="both"/>
      </w:pPr>
      <w:r>
        <w:rPr>
          <w:rFonts w:ascii="Arial" w:cs="Arial" w:eastAsia="Arial" w:hAnsi="Arial"/>
          <w:sz w:val="24"/>
          <w:szCs w:val="24"/>
        </w:rPr>
        <w:t xml:space="preserve">6.1.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действующим законодательством Кыргызской Республики.</w:t>
      </w:r>
    </w:p>
    <w:p>
      <w:pPr>
        <w:spacing w:after="120"/>
        <w:jc w:val="both"/>
      </w:pPr>
      <w:r>
        <w:rPr>
          <w:rFonts w:ascii="Arial" w:cs="Arial" w:eastAsia="Arial" w:hAnsi="Arial"/>
          <w:sz w:val="24"/>
          <w:szCs w:val="24"/>
        </w:rPr>
        <w:t xml:space="preserve">7. Прочие условия</w:t>
      </w:r>
    </w:p>
    <w:p>
      <w:pPr>
        <w:spacing w:after="120"/>
        <w:jc w:val="both"/>
      </w:pPr>
      <w:r>
        <w:rPr>
          <w:rFonts w:ascii="Arial" w:cs="Arial" w:eastAsia="Arial" w:hAnsi="Arial"/>
          <w:sz w:val="24"/>
          <w:szCs w:val="24"/>
        </w:rPr>
        <w:t xml:space="preserve">7.1. Настоящий Договор подлежит регистрации в Отделе залоговой регистрации Министерства юстиции Кыргызской Республики и у реестродержателя, вступает в силу с момента его регистрации,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120"/>
        <w:jc w:val="both"/>
      </w:pPr>
      <w:r>
        <w:rPr>
          <w:rFonts w:ascii="Arial" w:cs="Arial" w:eastAsia="Arial" w:hAnsi="Arial"/>
          <w:sz w:val="24"/>
          <w:szCs w:val="24"/>
        </w:rPr>
        <w:t xml:space="preserve">7.2. Условия настоящего Договора могут быть изменены и дополнены только по взаимному соглашению Сторон.</w:t>
      </w:r>
    </w:p>
    <w:p>
      <w:pPr>
        <w:spacing w:after="120"/>
        <w:jc w:val="both"/>
      </w:pPr>
      <w:r>
        <w:rPr>
          <w:rFonts w:ascii="Arial" w:cs="Arial" w:eastAsia="Arial" w:hAnsi="Arial"/>
          <w:sz w:val="24"/>
          <w:szCs w:val="24"/>
        </w:rPr>
        <w:t xml:space="preserve">7.3.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120"/>
        <w:jc w:val="both"/>
      </w:pPr>
      <w:r>
        <w:rPr>
          <w:rFonts w:ascii="Arial" w:cs="Arial" w:eastAsia="Arial" w:hAnsi="Arial"/>
          <w:sz w:val="24"/>
          <w:szCs w:val="24"/>
        </w:rPr>
        <w:t xml:space="preserve">7.4. Настоящий Договор вступает в силу с момента регистрации в соответствующих уполномоченных органах в соответствии с пунктом 7.1 настоящего Договора.</w:t>
      </w:r>
    </w:p>
    <w:p>
      <w:pPr>
        <w:spacing w:after="120"/>
        <w:jc w:val="both"/>
      </w:pPr>
      <w:r>
        <w:rPr>
          <w:rFonts w:ascii="Arial" w:cs="Arial" w:eastAsia="Arial" w:hAnsi="Arial"/>
          <w:sz w:val="24"/>
          <w:szCs w:val="24"/>
        </w:rPr>
        <w:t xml:space="preserve">7.5. Настоящий Договор составлен в 5 (пяти)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остальные экземпляры для уполномоченных органов.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120"/>
        <w:jc w:val="both"/>
      </w:pPr>
      <w:r>
        <w:rPr>
          <w:rFonts w:ascii="Arial" w:cs="Arial" w:eastAsia="Arial" w:hAnsi="Arial"/>
          <w:sz w:val="24"/>
          <w:szCs w:val="24"/>
        </w:rPr>
        <w:t xml:space="preserve">8.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 ОАО/ЗАО "Коммерческий банк"</w:t>
      </w:r>
    </w:p>
    <w:p>
      <w:pPr>
        <w:tabs>
          <w:tab w:val="right" w:pos="10178"/>
        </w:tabs>
        <w:spacing w:after="120"/>
      </w:pPr>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г.Бишкек, ул. ____________________.</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Корсчет в Национальном банке</w:t>
      </w:r>
    </w:p>
    <w:p>
      <w:pPr>
        <w:spacing w:after="120"/>
        <w:jc w:val="right"/>
      </w:pPr>
      <w:r>
        <w:rPr>
          <w:rFonts w:ascii="Arial" w:cs="Arial" w:eastAsia="Arial" w:hAnsi="Arial"/>
          <w:sz w:val="24"/>
          <w:szCs w:val="24"/>
        </w:rPr>
        <w:t xml:space="preserve">№ 1010126 ______________________</w:t>
      </w:r>
    </w:p>
    <w:p>
      <w:pPr>
        <w:spacing w:after="120"/>
        <w:jc w:val="right"/>
      </w:pPr>
      <w:r>
        <w:rPr>
          <w:rFonts w:ascii="Arial" w:cs="Arial" w:eastAsia="Arial" w:hAnsi="Arial"/>
          <w:sz w:val="24"/>
          <w:szCs w:val="24"/>
        </w:rPr>
        <w:t xml:space="preserve">БИК Национального банка № ______</w:t>
      </w:r>
    </w:p>
    <w:p>
      <w:pPr>
        <w:spacing w:after="120"/>
        <w:jc w:val="right"/>
      </w:pPr>
      <w:r>
        <w:rPr>
          <w:rFonts w:ascii="Arial" w:cs="Arial" w:eastAsia="Arial" w:hAnsi="Arial"/>
          <w:sz w:val="24"/>
          <w:szCs w:val="24"/>
        </w:rPr>
        <w:t xml:space="preserve">ИНН № _________________________</w:t>
      </w:r>
    </w:p>
    <w:p>
      <w:pPr>
        <w:spacing w:after="120"/>
        <w:jc w:val="right"/>
      </w:pPr>
      <w:r>
        <w:rPr>
          <w:rFonts w:ascii="Arial" w:cs="Arial" w:eastAsia="Arial" w:hAnsi="Arial"/>
          <w:sz w:val="24"/>
          <w:szCs w:val="24"/>
        </w:rPr>
        <w:t xml:space="preserve">ОКПО № _______________________</w:t>
      </w:r>
    </w:p>
    <w:p>
      <w:pPr>
        <w:spacing w:after="120"/>
        <w:jc w:val="right"/>
      </w:pPr>
      <w:r>
        <w:rPr>
          <w:rFonts w:ascii="Arial" w:cs="Arial" w:eastAsia="Arial" w:hAnsi="Arial"/>
          <w:sz w:val="24"/>
          <w:szCs w:val="24"/>
        </w:rPr>
        <w:t xml:space="preserve">Код ГНИ: _______________________</w:t>
      </w:r>
    </w:p>
    <w:p>
      <w:pPr>
        <w:tabs>
          <w:tab w:val="right" w:pos="10178"/>
        </w:tabs>
        <w:spacing w:after="120"/>
      </w:pPr>
      <w:r>
        <w:rPr>
          <w:rFonts w:ascii="Arial" w:cs="Arial" w:eastAsia="Arial" w:hAnsi="Arial"/>
          <w:sz w:val="24"/>
          <w:szCs w:val="24"/>
        </w:rPr>
        <w:t xml:space="preserve">Должность 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w:t>
      </w:r>
    </w:p>
    <w:p>
      <w:pPr>
        <w:tabs>
          <w:tab w:val="right" w:pos="10178"/>
        </w:tabs>
        <w:spacing w:after="120"/>
      </w:pPr>
      <w:r>
        <w:rPr>
          <w:rFonts w:ascii="Arial" w:cs="Arial" w:eastAsia="Arial" w:hAnsi="Arial"/>
          <w:sz w:val="24"/>
          <w:szCs w:val="24"/>
        </w:rPr>
        <w:t xml:space="preserve">(подпись) 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Договору залога облигаций с ипотечным покрытием, выпущенных ОАО "Государственная Ипотечная Компания"
 от "___" ______________ 20__ г.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Ежеквартально до 10 числа следующего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w:t>
      </w:r>
    </w:p>
    <w:p>
      <w:pPr>
        <w:spacing w:after="120"/>
        <w:jc w:val="both"/>
      </w:pPr>
      <w:r>
        <w:rPr>
          <w:rFonts w:ascii="Arial" w:cs="Arial" w:eastAsia="Arial" w:hAnsi="Arial"/>
          <w:sz w:val="24"/>
          <w:szCs w:val="24"/>
        </w:rPr>
        <w:t xml:space="preserve">ОТЧЕТ
 по мониторингу состояния ипотечного покрытия облигаций, выпущенных ОАО "Государственная Ипотечная Компания" (на дату), по кредитному договору № __________ (код аукциона)</w:t>
      </w:r>
    </w:p>
    <w:p>
      <w:pPr>
        <w:spacing w:after="120"/>
        <w:jc w:val="right"/>
      </w:pPr>
      <w:r>
        <w:rPr>
          <w:rFonts w:ascii="Arial" w:cs="Arial" w:eastAsia="Arial" w:hAnsi="Arial"/>
          <w:sz w:val="24"/>
          <w:szCs w:val="24"/>
        </w:rPr>
        <w:t xml:space="preserve">период</w:t>
      </w:r>
    </w:p>
    <w:p>
      <w:pPr>
        <w:spacing w:after="120"/>
        <w:jc w:val="right"/>
      </w:pPr>
      <w:r>
        <w:rPr>
          <w:rFonts w:ascii="Arial" w:cs="Arial" w:eastAsia="Arial" w:hAnsi="Arial"/>
          <w:sz w:val="24"/>
          <w:szCs w:val="24"/>
        </w:rPr>
        <w:t xml:space="preserve">банк</w:t>
      </w:r>
    </w:p>
    <w:p>
      <w:pPr>
        <w:spacing w:after="120"/>
        <w:jc w:val="right"/>
      </w:pPr>
      <w:r>
        <w:rPr>
          <w:rFonts w:ascii="Arial" w:cs="Arial" w:eastAsia="Arial" w:hAnsi="Arial"/>
          <w:sz w:val="24"/>
          <w:szCs w:val="24"/>
        </w:rPr>
        <w:t xml:space="preserve">в сомах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8"/>
        <w:gridCol w:w="958"/>
        <w:gridCol w:w="978"/>
        <w:gridCol w:w="978"/>
        <w:gridCol w:w="976"/>
        <w:gridCol w:w="976"/>
        <w:gridCol w:w="726"/>
        <w:gridCol w:w="726"/>
        <w:gridCol w:w="726"/>
        <w:gridCol w:w="726"/>
        <w:gridCol w:w="726"/>
        <w:gridCol w:w="726"/>
      </w:tblGrid>
      <w:tr>
        <w:tc>
          <w:tcPr>
            <w:tcW w:type="dxa" w:w="191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Первоначальное ипотечное покрытие</w:t>
            </w:r>
          </w:p>
        </w:tc>
        <w:tc>
          <w:tcPr>
            <w:tcW w:type="dxa" w:w="19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Ипотечное покрытие на начало отчетного квартала</w:t>
            </w:r>
          </w:p>
        </w:tc>
        <w:tc>
          <w:tcPr>
            <w:tcW w:type="dxa" w:w="19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Ипотечное покрытие на конец отчетного квартала</w:t>
            </w:r>
          </w:p>
        </w:tc>
        <w:tc>
          <w:tcPr>
            <w:tcW w:type="dxa" w:w="435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ипотечного покрытия на отчетную дату (сом)</w:t>
            </w:r>
          </w:p>
        </w:tc>
      </w:tr>
      <w:tr>
        <w:tc>
          <w:tcPr>
            <w:tcW w:type="dxa" w:w="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субстан.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сомнит.</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w:t>
            </w:r>
          </w:p>
        </w:tc>
      </w:tr>
      <w:tr>
        <w:tc>
          <w:tcPr>
            <w:tcW w:type="dxa" w:w="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руководителя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veigpecgqkbj5xpxim">
      <w:r>
        <w:rPr>
          <w:rFonts w:ascii="Arial" w:cs="Arial" w:eastAsia="Arial" w:hAnsi="Arial"/>
          <w:color w:val="132D3F"/>
          <w:sz w:val="16"/>
          <w:szCs w:val="16"/>
          <w:u w:val="single"/>
        </w:rPr>
        <w:t xml:space="preserve">dalil.kg/document/800256</w:t>
      </w:r>
    </w:hyperlink>
  </w:p>
  <w:p>
    <w:pPr>
      <w:spacing w:after="0" w:before="40"/>
      <w:jc w:val="center"/>
    </w:pPr>
    <w:hyperlink w:history="1" r:id="rIdpwctdr834idqan5h72jh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wvvr6y5yl5x0f3zpykta" Type="http://schemas.openxmlformats.org/officeDocument/2006/relationships/hyperlink" Target="https://dalil.kg/document/111486" TargetMode="External"/><Relationship Id="rIdwuhsfa_unrk43jqdki7hs" Type="http://schemas.openxmlformats.org/officeDocument/2006/relationships/hyperlink" Target="https://dalil.kg/document/302909" TargetMode="External"/><Relationship Id="rIdsezlv0klzpati7d6ksbvv" Type="http://schemas.openxmlformats.org/officeDocument/2006/relationships/hyperlink" Target="https://dalil.kg/document/302909" TargetMode="External"/><Relationship Id="rIde61zgmesev5z27nic_kmk" Type="http://schemas.openxmlformats.org/officeDocument/2006/relationships/hyperlink" Target="https://dalil.kg/document/302909" TargetMode="External"/><Relationship Id="rIdwnhh0lzk_73hb5qixrzui" Type="http://schemas.openxmlformats.org/officeDocument/2006/relationships/hyperlink" Target="https://dalil.kg/document/302909" TargetMode="External"/><Relationship Id="rIdu71saj0ah1pnhmzex4wqm" Type="http://schemas.openxmlformats.org/officeDocument/2006/relationships/hyperlink" Target="https://dalil.kg/document/302909" TargetMode="External"/><Relationship Id="rIdbfcl3dv-1owf-3wqge5e2" Type="http://schemas.openxmlformats.org/officeDocument/2006/relationships/hyperlink" Target="https://dalil.kg/document/302909" TargetMode="External"/><Relationship Id="rIdt1av7qb7ixvd5xxeqn30u" Type="http://schemas.openxmlformats.org/officeDocument/2006/relationships/hyperlink" Target="https://dalil.kg/document/302909" TargetMode="External"/><Relationship Id="rIdal3cehmlfh9inswphnxu2" Type="http://schemas.openxmlformats.org/officeDocument/2006/relationships/hyperlink" Target="https://dalil.kg/document/30290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veigpecgqkbj5xpxim" Type="http://schemas.openxmlformats.org/officeDocument/2006/relationships/hyperlink" Target="https://dalil.kg/document/800256" TargetMode="External"/><Relationship Id="rIdpwctdr834idqan5h72jh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2026-09-25T03:17:43.628Z</dcterms:created>
  <dcterms:modified xsi:type="dcterms:W3CDTF">2026-09-25T03:17:43.628Z</dcterms:modified>
</cp:coreProperties>
</file>

<file path=docProps/custom.xml><?xml version="1.0" encoding="utf-8"?>
<Properties xmlns="http://schemas.openxmlformats.org/officeDocument/2006/custom-properties" xmlns:vt="http://schemas.openxmlformats.org/officeDocument/2006/docPropsVTypes"/>
</file>