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28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10 апреля 2019 года № 2019-П-12/19-3-(НПА)</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20yizoulr7ani2zfbphr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w:t>
      </w:r>
      <w:r>
        <w:rPr>
          <w:rFonts w:ascii="Arial" w:cs="Arial" w:eastAsia="Arial" w:hAnsi="Arial"/>
          <w:sz w:val="24"/>
          <w:szCs w:val="24"/>
        </w:rPr>
        <w:t xml:space="preserve">изменения и дополнения</w:t>
      </w:r>
      <w:r>
        <w:rPr>
          <w:rFonts w:ascii="Arial" w:cs="Arial" w:eastAsia="Arial" w:hAnsi="Arial"/>
          <w:sz w:val="24"/>
          <w:szCs w:val="24"/>
        </w:rPr>
        <w:t xml:space="preserve"> в следующие нормативные правовые акты Национального банка Кыргызской Республики (прилагаются):</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Инструкции</w:t>
      </w:r>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от 21 июля 2004 года № 18/2;</w:t>
      </w:r>
    </w:p>
    <w:p>
      <w:pPr>
        <w:spacing w:after="120"/>
        <w:jc w:val="both"/>
      </w:pPr>
      <w:r>
        <w:rPr>
          <w:rFonts w:ascii="Arial" w:cs="Arial" w:eastAsia="Arial" w:hAnsi="Arial"/>
          <w:sz w:val="24"/>
          <w:szCs w:val="24"/>
        </w:rPr>
        <w:t xml:space="preserve">- </w:t>
      </w:r>
      <w:hyperlink w:history="1" r:id="rIdy0jbitpgio36wuflfoje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5geoe_mxx0legdiuof1x6">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от 28 декабря 2009 года № 51/4;</w:t>
      </w:r>
    </w:p>
    <w:p>
      <w:pPr>
        <w:spacing w:after="120"/>
        <w:jc w:val="both"/>
      </w:pPr>
      <w:r>
        <w:rPr>
          <w:rFonts w:ascii="Arial" w:cs="Arial" w:eastAsia="Arial" w:hAnsi="Arial"/>
          <w:sz w:val="24"/>
          <w:szCs w:val="24"/>
        </w:rPr>
        <w:t xml:space="preserve">- </w:t>
      </w:r>
      <w:hyperlink w:history="1" r:id="rIdiaakmed7wy8ywvd_xotz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25 августа 2005 года № 26/5;</w:t>
      </w:r>
    </w:p>
    <w:p>
      <w:pPr>
        <w:spacing w:after="120"/>
        <w:jc w:val="both"/>
      </w:pPr>
      <w:r>
        <w:rPr>
          <w:rFonts w:ascii="Arial" w:cs="Arial" w:eastAsia="Arial" w:hAnsi="Arial"/>
          <w:sz w:val="24"/>
          <w:szCs w:val="24"/>
        </w:rPr>
        <w:t xml:space="preserve">- </w:t>
      </w:r>
      <w:hyperlink w:history="1" r:id="rIdn-9wurcvhcy0m6nvzvil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zudbx5mdnobbo22qxrhc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банков, осуществляющих операции в соответствии с исламскими принципами банковского дела и финансирования" от 30 марта 2011 года № 20/4.</w:t>
      </w:r>
    </w:p>
    <w:p>
      <w:pPr>
        <w:spacing w:after="120"/>
        <w:jc w:val="both"/>
      </w:pPr>
      <w:r>
        <w:rPr>
          <w:rFonts w:ascii="Arial" w:cs="Arial" w:eastAsia="Arial" w:hAnsi="Arial"/>
          <w:sz w:val="24"/>
          <w:szCs w:val="24"/>
        </w:rPr>
        <w:t xml:space="preserve">2. Настоящее постановление вступает в силу с 1 мая 2019 года.</w:t>
      </w:r>
    </w:p>
    <w:p>
      <w:pPr>
        <w:spacing w:after="120"/>
        <w:jc w:val="both"/>
      </w:pPr>
      <w:r>
        <w:rPr>
          <w:rFonts w:ascii="Arial" w:cs="Arial" w:eastAsia="Arial" w:hAnsi="Arial"/>
          <w:sz w:val="24"/>
          <w:szCs w:val="24"/>
        </w:rPr>
        <w:t xml:space="preserve">3. Установить для банков, осуществляющих операции в соответствии с исламскими принципами банковского дела и финансирования, исполнение Категории 6 (степень кредитного риска - 150%) пункта 24 Инструкции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в следующие сроки:</w:t>
      </w:r>
    </w:p>
    <w:p>
      <w:pPr>
        <w:spacing w:after="120"/>
        <w:jc w:val="both"/>
      </w:pPr>
      <w:r>
        <w:rPr>
          <w:rFonts w:ascii="Arial" w:cs="Arial" w:eastAsia="Arial" w:hAnsi="Arial"/>
          <w:sz w:val="24"/>
          <w:szCs w:val="24"/>
        </w:rPr>
        <w:t xml:space="preserve">- с 1 июля 2019 до 31 декабря 2019 года - степень кредитного риска 130%;</w:t>
      </w:r>
    </w:p>
    <w:p>
      <w:pPr>
        <w:spacing w:after="120"/>
        <w:jc w:val="both"/>
      </w:pPr>
      <w:r>
        <w:rPr>
          <w:rFonts w:ascii="Arial" w:cs="Arial" w:eastAsia="Arial" w:hAnsi="Arial"/>
          <w:sz w:val="24"/>
          <w:szCs w:val="24"/>
        </w:rPr>
        <w:t xml:space="preserve">- с 1 января 2020 года - степень кредитного риска 150%.</w:t>
      </w:r>
    </w:p>
    <w:p>
      <w:pPr>
        <w:spacing w:after="120"/>
        <w:jc w:val="both"/>
      </w:pPr>
      <w:r>
        <w:rPr>
          <w:rFonts w:ascii="Arial" w:cs="Arial" w:eastAsia="Arial" w:hAnsi="Arial"/>
          <w:sz w:val="24"/>
          <w:szCs w:val="24"/>
        </w:rPr>
        <w:t xml:space="preserve">4.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5. Управлению методологии надзора и лицензирования банков довести настоящее постановление до сведения коммерческих банков, специализированной финансово-кредитной организации ОАО "Финансовая компания кредитных союзов", ОЮЛ "Союз банков Кыргызстана", ОЮЛ "Ассоциация исламских финансов", соответствующих структурных подразделений, областных управлений и представительства Национального банка Кыргызской Республики в Баткенской области.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 и лицензирования банков.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Т.Абдыгулов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Национального банка Кыргызской Республики
 от 10 апреля 2019 года № 2019-П-12/19-3-(НПА)</w:t>
      </w:r>
    </w:p>
    <w:p>
      <w:pPr>
        <w:spacing w:after="120"/>
        <w:jc w:val="center"/>
      </w:pPr>
      <w:r>
        <w:rPr>
          <w:rFonts w:ascii="Arial" w:cs="Arial" w:eastAsia="Arial" w:hAnsi="Arial"/>
          <w:sz w:val="24"/>
          <w:szCs w:val="24"/>
        </w:rPr>
        <w:t xml:space="preserve">ИЗМЕНЕНИЯ И ДОПОЛНЕНИЯ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1.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Инструкции </w:t>
      </w:r>
      <w:r>
        <w:rPr>
          <w:rFonts w:ascii="Arial" w:cs="Arial" w:eastAsia="Arial" w:hAnsi="Arial"/>
          <w:sz w:val="24"/>
          <w:szCs w:val="24"/>
        </w:rPr>
        <w:t xml:space="preserve">по определению стандартов достаточности (адекватности) капитала коммерческих банков Кыргызской Республики" от 21 июля 2004 года № 18/2 следующие дополнения: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Инструкции</w:t>
      </w:r>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утвержденной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Приложении</w:t>
      </w:r>
      <w:r>
        <w:rPr>
          <w:rFonts w:ascii="Arial" w:cs="Arial" w:eastAsia="Arial" w:hAnsi="Arial"/>
          <w:sz w:val="24"/>
          <w:szCs w:val="24"/>
        </w:rPr>
        <w:t xml:space="preserve"> к Инструкции:</w:t>
      </w:r>
    </w:p>
    <w:p>
      <w:pPr>
        <w:spacing w:after="120"/>
        <w:jc w:val="both"/>
      </w:pPr>
      <w:r>
        <w:rPr>
          <w:rFonts w:ascii="Arial" w:cs="Arial" w:eastAsia="Arial" w:hAnsi="Arial"/>
          <w:sz w:val="24"/>
          <w:szCs w:val="24"/>
        </w:rPr>
        <w:t xml:space="preserve">в разделе "Кредиты и лизинга (продолжение)/прочие активы":</w:t>
      </w:r>
    </w:p>
    <w:p>
      <w:pPr>
        <w:spacing w:after="120"/>
        <w:jc w:val="both"/>
      </w:pPr>
      <w:r>
        <w:rPr>
          <w:rFonts w:ascii="Arial" w:cs="Arial" w:eastAsia="Arial" w:hAnsi="Arial"/>
          <w:sz w:val="24"/>
          <w:szCs w:val="24"/>
        </w:rPr>
        <w:t xml:space="preserve">дополнить статьей 361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5"/>
        <w:gridCol w:w="7125"/>
        <w:gridCol w:w="806"/>
        <w:gridCol w:w="806"/>
        <w:gridCol w:w="806"/>
      </w:tblGrid>
      <w:tr>
        <w:tc>
          <w:tcPr>
            <w:tcW w:type="dxa" w:w="6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71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по договорам мушарака, мудараба</w:t>
            </w:r>
          </w:p>
        </w:tc>
        <w:tc>
          <w:tcPr>
            <w:tcW w:type="dxa" w:w="8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8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";,3000</w:t>
      </w:r>
    </w:p>
    <w:p>
      <w:pPr>
        <w:spacing w:after="120"/>
        <w:jc w:val="both"/>
      </w:pPr>
      <w:r>
        <w:rPr>
          <w:rFonts w:ascii="Arial" w:cs="Arial" w:eastAsia="Arial" w:hAnsi="Arial"/>
          <w:sz w:val="24"/>
          <w:szCs w:val="24"/>
        </w:rPr>
        <w:t xml:space="preserve">статью 420 "Начисленные проценты к получению" дополнить строками 420.6-420.8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70"/>
        <w:gridCol w:w="5166"/>
        <w:gridCol w:w="1346"/>
        <w:gridCol w:w="1386"/>
        <w:gridCol w:w="1109"/>
      </w:tblGrid>
      <w:tr>
        <w:tc>
          <w:tcPr>
            <w:tcW w:type="dxa" w:w="1170"/>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420.6</w:t>
            </w:r>
          </w:p>
        </w:tc>
        <w:tc>
          <w:tcPr>
            <w:tcW w:type="dxa" w:w="516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4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8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1109"/>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11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420.7</w:t>
            </w:r>
          </w:p>
        </w:tc>
        <w:tc>
          <w:tcPr>
            <w:tcW w:type="dxa" w:w="51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110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1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420.8</w:t>
            </w:r>
          </w:p>
        </w:tc>
        <w:tc>
          <w:tcPr>
            <w:tcW w:type="dxa" w:w="5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Внести в </w:t>
      </w:r>
      <w:hyperlink w:history="1" r:id="rIdhyivqj2zitejr0g4kqbc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chcyvi7cc6rzyeuwdzgrz">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от 28 декабря 2009 года № 51/4 следующие дополнения и изменения:</w:t>
      </w:r>
    </w:p>
    <w:p>
      <w:pPr>
        <w:spacing w:after="120"/>
        <w:jc w:val="both"/>
      </w:pPr>
      <w:r>
        <w:rPr>
          <w:rFonts w:ascii="Arial" w:cs="Arial" w:eastAsia="Arial" w:hAnsi="Arial"/>
          <w:sz w:val="24"/>
          <w:szCs w:val="24"/>
        </w:rPr>
        <w:t xml:space="preserve">в </w:t>
      </w:r>
      <w:hyperlink w:history="1" r:id="rIdheprr5yi5nvbo3xwsru3e">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 пункт 9-1 изложить в следующей редакции:</w:t>
      </w:r>
    </w:p>
    <w:p>
      <w:pPr>
        <w:spacing w:after="120"/>
        <w:jc w:val="both"/>
      </w:pPr>
      <w:r>
        <w:rPr>
          <w:rFonts w:ascii="Arial" w:cs="Arial" w:eastAsia="Arial" w:hAnsi="Arial"/>
          <w:sz w:val="24"/>
          <w:szCs w:val="24"/>
        </w:rPr>
        <w:t xml:space="preserve">"9-1. В целях сохранения финансовой устойчивости банка и сохранения стабильности его деятельности устанавливается требование о поддержке "дополнительного запаса капитала банка" (индекс "буфер капитала") для выплаты дивидендов. Индекс "буфер капитала" определяется аналогично расчету коэффициента достаточности (адекватности) суммарного капитала. Значение индекса "буфер капитала" банков устанавливается Комитетом по надзору Национального банка.";</w:t>
      </w:r>
    </w:p>
    <w:p>
      <w:pPr>
        <w:spacing w:after="120"/>
        <w:jc w:val="both"/>
      </w:pPr>
      <w:r>
        <w:rPr>
          <w:rFonts w:ascii="Arial" w:cs="Arial" w:eastAsia="Arial" w:hAnsi="Arial"/>
          <w:sz w:val="24"/>
          <w:szCs w:val="24"/>
        </w:rPr>
        <w:t xml:space="preserve">- пункт 9-2 изложить в следующей редакции:</w:t>
      </w:r>
    </w:p>
    <w:p>
      <w:pPr>
        <w:spacing w:after="120"/>
        <w:jc w:val="both"/>
      </w:pPr>
      <w:r>
        <w:rPr>
          <w:rFonts w:ascii="Arial" w:cs="Arial" w:eastAsia="Arial" w:hAnsi="Arial"/>
          <w:sz w:val="24"/>
          <w:szCs w:val="24"/>
        </w:rPr>
        <w:t xml:space="preserve">"9-2. Банк не имеет право принимать решение о выплате дивидендов в случае, если индекс "буфер капитала", рассчитанный с учетом вычета суммы дивидендов, планируемой к выплате, будет составлять значение ниже установленного Национальным банком.</w:t>
      </w:r>
    </w:p>
    <w:p>
      <w:pPr>
        <w:spacing w:after="120"/>
        <w:jc w:val="both"/>
      </w:pPr>
      <w:r>
        <w:rPr>
          <w:rFonts w:ascii="Arial" w:cs="Arial" w:eastAsia="Arial" w:hAnsi="Arial"/>
          <w:sz w:val="24"/>
          <w:szCs w:val="24"/>
        </w:rPr>
        <w:t xml:space="preserve">После выплаты дивидендов индекс "буфер капитала" должен составлять значение не ниже установленного Национальным банком.</w:t>
      </w:r>
    </w:p>
    <w:p>
      <w:pPr>
        <w:spacing w:after="120"/>
        <w:jc w:val="both"/>
      </w:pPr>
      <w:r>
        <w:rPr>
          <w:rFonts w:ascii="Arial" w:cs="Arial" w:eastAsia="Arial" w:hAnsi="Arial"/>
          <w:sz w:val="24"/>
          <w:szCs w:val="24"/>
        </w:rPr>
        <w:t xml:space="preserve">В случае соблюдения значения индекса "буфер капитала", рассчитанного с учетом вычета суммы дивидендов, планируемой к выплате, банк должен получить разрешение Национального банка на выплату, за исключением случаев, когда за счет нераспределенной прибыли банк увеличивает свой уставной капитал.";</w:t>
      </w:r>
    </w:p>
    <w:p>
      <w:pPr>
        <w:spacing w:after="120"/>
        <w:jc w:val="both"/>
      </w:pPr>
      <w:r>
        <w:rPr>
          <w:rFonts w:ascii="Arial" w:cs="Arial" w:eastAsia="Arial" w:hAnsi="Arial"/>
          <w:sz w:val="24"/>
          <w:szCs w:val="24"/>
        </w:rPr>
        <w:t xml:space="preserve">- пункт 9-3 признать утратившим силу;</w:t>
      </w:r>
    </w:p>
    <w:p>
      <w:pPr>
        <w:spacing w:after="120"/>
        <w:jc w:val="both"/>
      </w:pPr>
      <w:r>
        <w:rPr>
          <w:rFonts w:ascii="Arial" w:cs="Arial" w:eastAsia="Arial" w:hAnsi="Arial"/>
          <w:sz w:val="24"/>
          <w:szCs w:val="24"/>
        </w:rPr>
        <w:t xml:space="preserve">- в абзацах двенадцатом и пятнадцатом подпункта "д" пункта 16 слова "Управления внешнего надзора" заменить словами "соответствующего структурного подразделения";</w:t>
      </w:r>
    </w:p>
    <w:p>
      <w:pPr>
        <w:spacing w:after="120"/>
        <w:jc w:val="both"/>
      </w:pPr>
      <w:r>
        <w:rPr>
          <w:rFonts w:ascii="Arial" w:cs="Arial" w:eastAsia="Arial" w:hAnsi="Arial"/>
          <w:sz w:val="24"/>
          <w:szCs w:val="24"/>
        </w:rPr>
        <w:t xml:space="preserve">- в пункте 22 слово "шесть" заменить словом "семь";</w:t>
      </w:r>
    </w:p>
    <w:p>
      <w:pPr>
        <w:spacing w:after="120"/>
        <w:jc w:val="both"/>
      </w:pPr>
      <w:r>
        <w:rPr>
          <w:rFonts w:ascii="Arial" w:cs="Arial" w:eastAsia="Arial" w:hAnsi="Arial"/>
          <w:sz w:val="24"/>
          <w:szCs w:val="24"/>
        </w:rPr>
        <w:t xml:space="preserve">- в пункте 24:</w:t>
      </w:r>
    </w:p>
    <w:p>
      <w:pPr>
        <w:spacing w:after="120"/>
        <w:jc w:val="both"/>
      </w:pPr>
      <w:r>
        <w:rPr>
          <w:rFonts w:ascii="Arial" w:cs="Arial" w:eastAsia="Arial" w:hAnsi="Arial"/>
          <w:sz w:val="24"/>
          <w:szCs w:val="24"/>
        </w:rPr>
        <w:t xml:space="preserve">подпункт "а" части "Категория 4 (степень кредитного риска - 50%):" изложить в следующей редакции:</w:t>
      </w:r>
    </w:p>
    <w:p>
      <w:pPr>
        <w:spacing w:after="120"/>
        <w:jc w:val="both"/>
      </w:pPr>
      <w:r>
        <w:rPr>
          <w:rFonts w:ascii="Arial" w:cs="Arial" w:eastAsia="Arial" w:hAnsi="Arial"/>
          <w:sz w:val="24"/>
          <w:szCs w:val="24"/>
        </w:rPr>
        <w:t xml:space="preserve">"а) финансирование, предоставленное физическим лицам для покупки или строительства жилья на одну семью и гарантированные первым залогом по такому жилью. К этой категории относятся только такие активы, которые выданы лицам, намеревающимся жить в данном доме или квартире, т.е. данное жилье (или его часть) не будет использовано в других целях (продажа, аренда и т.п.).</w:t>
      </w:r>
    </w:p>
    <w:p>
      <w:pPr>
        <w:spacing w:after="120"/>
        <w:jc w:val="both"/>
      </w:pPr>
      <w:r>
        <w:rPr>
          <w:rFonts w:ascii="Arial" w:cs="Arial" w:eastAsia="Arial" w:hAnsi="Arial"/>
          <w:sz w:val="24"/>
          <w:szCs w:val="24"/>
        </w:rPr>
        <w:t xml:space="preserve">В случае, если просрочка по данным активам составляет свыше 30 дней, или они реструктуризированы, то они указываются в категории 5 со степенью кредитного риска 100%.";</w:t>
      </w:r>
    </w:p>
    <w:p>
      <w:pPr>
        <w:spacing w:after="120"/>
        <w:jc w:val="both"/>
      </w:pPr>
      <w:r>
        <w:rPr>
          <w:rFonts w:ascii="Arial" w:cs="Arial" w:eastAsia="Arial" w:hAnsi="Arial"/>
          <w:sz w:val="24"/>
          <w:szCs w:val="24"/>
        </w:rPr>
        <w:t xml:space="preserve">часть "Категория 4 (степень кредитного риска - 50%):" дополнить подпунктом "в" следующего содержания:</w:t>
      </w:r>
    </w:p>
    <w:p>
      <w:pPr>
        <w:spacing w:after="120"/>
        <w:jc w:val="both"/>
      </w:pPr>
      <w:r>
        <w:rPr>
          <w:rFonts w:ascii="Arial" w:cs="Arial" w:eastAsia="Arial" w:hAnsi="Arial"/>
          <w:sz w:val="24"/>
          <w:szCs w:val="24"/>
        </w:rPr>
        <w:t xml:space="preserve">"в) финансирование, предоставленное коммерческим банком по государственным программам, в том числе за счет собственных средств банка, связанным с финансированием сельского хозяйства и экспортно ориентированных и импортозамещающих предприятий, а также другим государственным программам, направленным на оказание содействия развитию экономики республики.</w:t>
      </w:r>
    </w:p>
    <w:p>
      <w:pPr>
        <w:spacing w:after="120"/>
        <w:jc w:val="both"/>
      </w:pPr>
      <w:r>
        <w:rPr>
          <w:rFonts w:ascii="Arial" w:cs="Arial" w:eastAsia="Arial" w:hAnsi="Arial"/>
          <w:sz w:val="24"/>
          <w:szCs w:val="24"/>
        </w:rPr>
        <w:t xml:space="preserve">В случае, если просрочка по данным активам составляет свыше 90 дней и/или они повторно реструктуризированы, то они указываются в категории 5 со степенью кредитного риска 100%.</w:t>
      </w:r>
    </w:p>
    <w:p>
      <w:pPr>
        <w:spacing w:after="120"/>
        <w:jc w:val="both"/>
      </w:pPr>
      <w:r>
        <w:rPr>
          <w:rFonts w:ascii="Arial" w:cs="Arial" w:eastAsia="Arial" w:hAnsi="Arial"/>
          <w:sz w:val="24"/>
          <w:szCs w:val="24"/>
        </w:rPr>
        <w:t xml:space="preserve">Примечание: к государственным программам относятся программы, финансируемые частично или полностью из республиканского бюджета или реализуемые через субсидирование из средств республиканского бюджета, включая финансирование, осуществляемое в сотрудничестве с организациями, созданными государством; программы в рамках реализации межгосударственных (межправительственных) проектов согласно международным договорам и соглашениям.";</w:t>
      </w:r>
    </w:p>
    <w:p>
      <w:pPr>
        <w:spacing w:after="120"/>
        <w:jc w:val="both"/>
      </w:pPr>
      <w:r>
        <w:rPr>
          <w:rFonts w:ascii="Arial" w:cs="Arial" w:eastAsia="Arial" w:hAnsi="Arial"/>
          <w:sz w:val="24"/>
          <w:szCs w:val="24"/>
        </w:rPr>
        <w:t xml:space="preserve">в части "Категория 5 (степень кредитного риска - 100%):":</w:t>
      </w:r>
    </w:p>
    <w:p>
      <w:pPr>
        <w:spacing w:after="120"/>
        <w:jc w:val="both"/>
      </w:pPr>
      <w:r>
        <w:rPr>
          <w:rFonts w:ascii="Arial" w:cs="Arial" w:eastAsia="Arial" w:hAnsi="Arial"/>
          <w:sz w:val="24"/>
          <w:szCs w:val="24"/>
        </w:rPr>
        <w:t xml:space="preserve">первый абзац подпункта "е" изложить в следующей редакции:</w:t>
      </w:r>
    </w:p>
    <w:p>
      <w:pPr>
        <w:spacing w:after="120"/>
        <w:jc w:val="both"/>
      </w:pPr>
      <w:r>
        <w:rPr>
          <w:rFonts w:ascii="Arial" w:cs="Arial" w:eastAsia="Arial" w:hAnsi="Arial"/>
          <w:sz w:val="24"/>
          <w:szCs w:val="24"/>
        </w:rPr>
        <w:t xml:space="preserve">"активы, размещенные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четвертый абзац подпункта "е" изложить в следующей редакции:</w:t>
      </w:r>
    </w:p>
    <w:p>
      <w:pPr>
        <w:spacing w:after="120"/>
        <w:jc w:val="both"/>
      </w:pPr>
      <w:r>
        <w:rPr>
          <w:rFonts w:ascii="Arial" w:cs="Arial" w:eastAsia="Arial" w:hAnsi="Arial"/>
          <w:sz w:val="24"/>
          <w:szCs w:val="24"/>
        </w:rPr>
        <w:t xml:space="preserve">"- другие активы, размещенные в соответствии с исламскими принципами банковского дела и финансирования, не вошедшие в другие категории;";</w:t>
      </w:r>
    </w:p>
    <w:p>
      <w:pPr>
        <w:spacing w:after="120"/>
        <w:jc w:val="both"/>
      </w:pPr>
      <w:r>
        <w:rPr>
          <w:rFonts w:ascii="Arial" w:cs="Arial" w:eastAsia="Arial" w:hAnsi="Arial"/>
          <w:sz w:val="24"/>
          <w:szCs w:val="24"/>
        </w:rPr>
        <w:t xml:space="preserve">часть "Категория 6 (степень кредитного риска - 400%):" изложить в следующей редакции:</w:t>
      </w:r>
    </w:p>
    <w:p>
      <w:pPr>
        <w:spacing w:after="120"/>
        <w:jc w:val="both"/>
      </w:pPr>
      <w:r>
        <w:rPr>
          <w:rFonts w:ascii="Arial" w:cs="Arial" w:eastAsia="Arial" w:hAnsi="Arial"/>
          <w:sz w:val="24"/>
          <w:szCs w:val="24"/>
        </w:rPr>
        <w:t xml:space="preserve">"Категория 6 (степень кредитного риска - 150%):</w:t>
      </w:r>
    </w:p>
    <w:p>
      <w:pPr>
        <w:spacing w:after="120"/>
        <w:jc w:val="both"/>
      </w:pPr>
      <w:r>
        <w:rPr>
          <w:rFonts w:ascii="Arial" w:cs="Arial" w:eastAsia="Arial" w:hAnsi="Arial"/>
          <w:sz w:val="24"/>
          <w:szCs w:val="24"/>
        </w:rPr>
        <w:t xml:space="preserve">- активы, размещенные в соответствии с исламскими принципами банковского дела и финансирования в иностранной валюте, за исключением активов в валюте государств-членов ЕАЭС, а также кроме указанных в категории 4.";</w:t>
      </w:r>
    </w:p>
    <w:p>
      <w:pPr>
        <w:spacing w:after="120"/>
        <w:jc w:val="both"/>
      </w:pPr>
      <w:r>
        <w:rPr>
          <w:rFonts w:ascii="Arial" w:cs="Arial" w:eastAsia="Arial" w:hAnsi="Arial"/>
          <w:sz w:val="24"/>
          <w:szCs w:val="24"/>
        </w:rPr>
        <w:t xml:space="preserve">пункт дополнить частью "Категория 7 (степень кредитного риска - 400%)" следующего содержания:</w:t>
      </w:r>
    </w:p>
    <w:p>
      <w:pPr>
        <w:spacing w:after="120"/>
        <w:jc w:val="both"/>
      </w:pPr>
      <w:r>
        <w:rPr>
          <w:rFonts w:ascii="Arial" w:cs="Arial" w:eastAsia="Arial" w:hAnsi="Arial"/>
          <w:sz w:val="24"/>
          <w:szCs w:val="24"/>
        </w:rPr>
        <w:t xml:space="preserve">"Категория 7 (степень кредитного риска - 400%):</w:t>
      </w:r>
    </w:p>
    <w:p>
      <w:pPr>
        <w:spacing w:after="120"/>
        <w:jc w:val="both"/>
      </w:pPr>
      <w:r>
        <w:rPr>
          <w:rFonts w:ascii="Arial" w:cs="Arial" w:eastAsia="Arial" w:hAnsi="Arial"/>
          <w:sz w:val="24"/>
          <w:szCs w:val="24"/>
        </w:rPr>
        <w:t xml:space="preserve">- активы, размещенные по договорам мудараба, мушарака, за исключением активов, указанных в категориях 1-6.";</w:t>
      </w:r>
    </w:p>
    <w:p>
      <w:pPr>
        <w:spacing w:after="120"/>
        <w:jc w:val="both"/>
      </w:pPr>
      <w:r>
        <w:rPr>
          <w:rFonts w:ascii="Arial" w:cs="Arial" w:eastAsia="Arial" w:hAnsi="Arial"/>
          <w:sz w:val="24"/>
          <w:szCs w:val="24"/>
        </w:rPr>
        <w:t xml:space="preserve">- пункт 40 изложить в следующей редакции:</w:t>
      </w:r>
    </w:p>
    <w:p>
      <w:pPr>
        <w:spacing w:after="120"/>
        <w:jc w:val="both"/>
      </w:pPr>
      <w:r>
        <w:rPr>
          <w:rFonts w:ascii="Arial" w:cs="Arial" w:eastAsia="Arial" w:hAnsi="Arial"/>
          <w:sz w:val="24"/>
          <w:szCs w:val="24"/>
        </w:rPr>
        <w:t xml:space="preserve">"40. Банк обязан получить разрешение Национального банка на выплату дивидендов акционерам банка. Документы для получения разрешения Национального банка на выплату дивидендов должны быть представлены в Национальный банк не позднее пяти рабочих дней до проведения общего собрания акционеров банка. К документам должны быть приложены планы банка по срокам выплаты дивидендов и расчеты по соблюдению экономических нормативов, а также индекса "буфер капитала", рассчитанного с учетом планируемой выплаты суммы дивидендов.</w:t>
      </w:r>
    </w:p>
    <w:p>
      <w:pPr>
        <w:spacing w:after="120"/>
        <w:jc w:val="both"/>
      </w:pPr>
      <w:r>
        <w:rPr>
          <w:rFonts w:ascii="Arial" w:cs="Arial" w:eastAsia="Arial" w:hAnsi="Arial"/>
          <w:sz w:val="24"/>
          <w:szCs w:val="24"/>
        </w:rPr>
        <w:t xml:space="preserve">При наличии угрозы стабильности банка Национальный банк может запретить либо установить ограничения на выплату дивидендов, если:</w:t>
      </w:r>
    </w:p>
    <w:p>
      <w:pPr>
        <w:spacing w:after="120"/>
        <w:jc w:val="both"/>
      </w:pPr>
      <w:r>
        <w:rPr>
          <w:rFonts w:ascii="Arial" w:cs="Arial" w:eastAsia="Arial" w:hAnsi="Arial"/>
          <w:sz w:val="24"/>
          <w:szCs w:val="24"/>
        </w:rPr>
        <w:t xml:space="preserve">а) выплата дивидендов приведет к нарушению экономических нормативов, установленных Национальным банком;</w:t>
      </w:r>
    </w:p>
    <w:p>
      <w:pPr>
        <w:spacing w:after="120"/>
        <w:jc w:val="both"/>
      </w:pPr>
      <w:r>
        <w:rPr>
          <w:rFonts w:ascii="Arial" w:cs="Arial" w:eastAsia="Arial" w:hAnsi="Arial"/>
          <w:sz w:val="24"/>
          <w:szCs w:val="24"/>
        </w:rPr>
        <w:t xml:space="preserve">б) значения коэффициентов достаточности (адекватности) капитала банка будут ниже минимальных пределов, установленных Национальным банком для данного банка;</w:t>
      </w:r>
    </w:p>
    <w:p>
      <w:pPr>
        <w:spacing w:after="120"/>
        <w:jc w:val="both"/>
      </w:pPr>
      <w:r>
        <w:rPr>
          <w:rFonts w:ascii="Arial" w:cs="Arial" w:eastAsia="Arial" w:hAnsi="Arial"/>
          <w:sz w:val="24"/>
          <w:szCs w:val="24"/>
        </w:rPr>
        <w:t xml:space="preserve">в) индекс "буфер капитала", после выплаты дивидендов, будет ниже минимальных значений, установленных Национальным банком;</w:t>
      </w:r>
    </w:p>
    <w:p>
      <w:pPr>
        <w:spacing w:after="120"/>
        <w:jc w:val="both"/>
      </w:pPr>
      <w:r>
        <w:rPr>
          <w:rFonts w:ascii="Arial" w:cs="Arial" w:eastAsia="Arial" w:hAnsi="Arial"/>
          <w:sz w:val="24"/>
          <w:szCs w:val="24"/>
        </w:rPr>
        <w:t xml:space="preserve">г) не созданы или созданы в недостаточном размере резервы на покрытие потенциальных потерь и убытков, согласно требованиям Национального банка;</w:t>
      </w:r>
    </w:p>
    <w:p>
      <w:pPr>
        <w:spacing w:after="120"/>
        <w:jc w:val="both"/>
      </w:pPr>
      <w:r>
        <w:rPr>
          <w:rFonts w:ascii="Arial" w:cs="Arial" w:eastAsia="Arial" w:hAnsi="Arial"/>
          <w:sz w:val="24"/>
          <w:szCs w:val="24"/>
        </w:rPr>
        <w:t xml:space="preserve">д) банк имеет непокрытые убытки за предыдущие годы и/или за отчетный год;</w:t>
      </w:r>
    </w:p>
    <w:p>
      <w:pPr>
        <w:spacing w:after="120"/>
        <w:jc w:val="both"/>
      </w:pPr>
      <w:r>
        <w:rPr>
          <w:rFonts w:ascii="Arial" w:cs="Arial" w:eastAsia="Arial" w:hAnsi="Arial"/>
          <w:sz w:val="24"/>
          <w:szCs w:val="24"/>
        </w:rPr>
        <w:t xml:space="preserve">е) это приведет к ухудшению финансового состояния банка;</w:t>
      </w:r>
    </w:p>
    <w:p>
      <w:pPr>
        <w:spacing w:after="120"/>
        <w:jc w:val="both"/>
      </w:pPr>
      <w:r>
        <w:rPr>
          <w:rFonts w:ascii="Arial" w:cs="Arial" w:eastAsia="Arial" w:hAnsi="Arial"/>
          <w:sz w:val="24"/>
          <w:szCs w:val="24"/>
        </w:rPr>
        <w:t xml:space="preserve">ж) в других случаях, предусмотренных законами Кыргызской Республики.</w:t>
      </w:r>
    </w:p>
    <w:p>
      <w:pPr>
        <w:spacing w:after="120"/>
        <w:jc w:val="both"/>
      </w:pPr>
      <w:r>
        <w:rPr>
          <w:rFonts w:ascii="Arial" w:cs="Arial" w:eastAsia="Arial" w:hAnsi="Arial"/>
          <w:sz w:val="24"/>
          <w:szCs w:val="24"/>
        </w:rPr>
        <w:t xml:space="preserve">Банк не вправе принимать решение о выплате (объявлении) дивидендов по акциям, если на момент принятия решения и выплаты дивидендов он отвечает признакам неплатежеспособности в соответствии с законодательством Кыргызской Республики или указанные признаки появятся у банка в результате выплаты дивидендов.</w:t>
      </w:r>
    </w:p>
    <w:p>
      <w:pPr>
        <w:spacing w:after="120"/>
        <w:jc w:val="both"/>
      </w:pPr>
      <w:r>
        <w:rPr>
          <w:rFonts w:ascii="Arial" w:cs="Arial" w:eastAsia="Arial" w:hAnsi="Arial"/>
          <w:sz w:val="24"/>
          <w:szCs w:val="24"/>
        </w:rPr>
        <w:t xml:space="preserve">Банк не вправе принимать решение о выплате (объявлении) дивидендов по простым акциям, если не принято решение о выплате дивидендов по привилегированным акциям.".</w:t>
      </w:r>
    </w:p>
    <w:p>
      <w:pPr>
        <w:spacing w:after="120"/>
        <w:jc w:val="both"/>
      </w:pPr>
      <w:r>
        <w:rPr>
          <w:rFonts w:ascii="Arial" w:cs="Arial" w:eastAsia="Arial" w:hAnsi="Arial"/>
          <w:sz w:val="24"/>
          <w:szCs w:val="24"/>
        </w:rPr>
        <w:t xml:space="preserve">3. Внести в </w:t>
      </w:r>
      <w:hyperlink w:history="1" r:id="rIdxgqypklmwmeq4f0vmrqw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25 августа 2005 года № 26/5 следующие изменения и дополнения:</w:t>
      </w:r>
    </w:p>
    <w:p>
      <w:pPr>
        <w:spacing w:after="120"/>
        <w:jc w:val="both"/>
      </w:pPr>
      <w:r>
        <w:rPr>
          <w:rFonts w:ascii="Arial" w:cs="Arial" w:eastAsia="Arial" w:hAnsi="Arial"/>
          <w:sz w:val="24"/>
          <w:szCs w:val="24"/>
        </w:rPr>
        <w:t xml:space="preserve">в </w:t>
      </w:r>
      <w:hyperlink w:history="1" r:id="rIdrjcn5de1flhub3lcfzty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банковском отчете", утвержденном вышеуказанным </w:t>
      </w:r>
      <w:hyperlink w:history="1" r:id="rIdja6ij0z726qaapzkcf5v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w:t>
      </w:r>
      <w:hyperlink w:history="1" r:id="rIdvyjhzqjyp6f15wkdxdt3t">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w:t>
      </w:r>
      <w:hyperlink w:history="1" r:id="rId60rd9cjhcil5jelkzf3tw">
        <w:r>
          <w:rPr>
            <w:rFonts w:ascii="Arial" w:cs="Arial" w:eastAsia="Arial" w:hAnsi="Arial"/>
            <w:color w:val="1D4ED8"/>
            <w:sz w:val="24"/>
            <w:szCs w:val="24"/>
            <w:u w:val="single"/>
          </w:rPr>
          <w:t xml:space="preserve">подразделе 15.4</w:t>
        </w:r>
      </w:hyperlink>
      <w:r>
        <w:rPr>
          <w:rFonts w:ascii="Arial" w:cs="Arial" w:eastAsia="Arial" w:hAnsi="Arial"/>
          <w:sz w:val="24"/>
          <w:szCs w:val="24"/>
        </w:rPr>
        <w:t xml:space="preserve">. "Кредиты и лизинга (продолжение)/Прочие активы":</w:t>
      </w:r>
    </w:p>
    <w:p>
      <w:pPr>
        <w:spacing w:after="120"/>
        <w:jc w:val="both"/>
      </w:pPr>
      <w:r>
        <w:rPr>
          <w:rFonts w:ascii="Arial" w:cs="Arial" w:eastAsia="Arial" w:hAnsi="Arial"/>
          <w:sz w:val="24"/>
          <w:szCs w:val="24"/>
        </w:rPr>
        <w:t xml:space="preserve">дополнить статьей 361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5"/>
        <w:gridCol w:w="6660"/>
        <w:gridCol w:w="961"/>
        <w:gridCol w:w="961"/>
        <w:gridCol w:w="961"/>
      </w:tblGrid>
      <w:tr>
        <w:tc>
          <w:tcPr>
            <w:tcW w:type="dxa" w:w="6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66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по договорам мушарака, мудараба</w:t>
            </w:r>
          </w:p>
        </w:tc>
        <w:tc>
          <w:tcPr>
            <w:tcW w:type="dxa" w:w="9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420 "Начисленные проценты к получению" дополнить строками 420.6-420.8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3"/>
        <w:gridCol w:w="4804"/>
        <w:gridCol w:w="1494"/>
        <w:gridCol w:w="1496"/>
        <w:gridCol w:w="1321"/>
      </w:tblGrid>
      <w:tr>
        <w:tc>
          <w:tcPr>
            <w:tcW w:type="dxa" w:w="106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420.6</w:t>
            </w:r>
          </w:p>
        </w:tc>
        <w:tc>
          <w:tcPr>
            <w:tcW w:type="dxa" w:w="480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1321"/>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106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420.7</w:t>
            </w:r>
          </w:p>
        </w:tc>
        <w:tc>
          <w:tcPr>
            <w:tcW w:type="dxa" w:w="48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420.8</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дополнить статьей 493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9"/>
        <w:gridCol w:w="6526"/>
        <w:gridCol w:w="961"/>
        <w:gridCol w:w="961"/>
        <w:gridCol w:w="961"/>
      </w:tblGrid>
      <w:tr>
        <w:tc>
          <w:tcPr>
            <w:tcW w:type="dxa" w:w="7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493</w:t>
            </w:r>
          </w:p>
        </w:tc>
        <w:tc>
          <w:tcPr>
            <w:tcW w:type="dxa" w:w="65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по договорам мушарака, мудараба</w:t>
            </w:r>
          </w:p>
        </w:tc>
        <w:tc>
          <w:tcPr>
            <w:tcW w:type="dxa" w:w="9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w:t>
      </w:r>
      <w:hyperlink w:history="1" r:id="rIdti63jryexrdildmig9arx">
        <w:r>
          <w:rPr>
            <w:rFonts w:ascii="Arial" w:cs="Arial" w:eastAsia="Arial" w:hAnsi="Arial"/>
            <w:color w:val="1D4ED8"/>
            <w:sz w:val="24"/>
            <w:szCs w:val="24"/>
            <w:u w:val="single"/>
          </w:rPr>
          <w:t xml:space="preserve">подразделе 15.А</w:t>
        </w:r>
      </w:hyperlink>
      <w:r>
        <w:rPr>
          <w:rFonts w:ascii="Arial" w:cs="Arial" w:eastAsia="Arial" w:hAnsi="Arial"/>
          <w:sz w:val="24"/>
          <w:szCs w:val="24"/>
        </w:rPr>
        <w:t xml:space="preserve">. Активы банка в рамках "исламского окна":</w:t>
      </w:r>
    </w:p>
    <w:p>
      <w:pPr>
        <w:spacing w:after="120"/>
        <w:jc w:val="both"/>
      </w:pPr>
      <w:r>
        <w:rPr>
          <w:rFonts w:ascii="Arial" w:cs="Arial" w:eastAsia="Arial" w:hAnsi="Arial"/>
          <w:sz w:val="24"/>
          <w:szCs w:val="24"/>
        </w:rPr>
        <w:t xml:space="preserve">строку 50.6 статьи 50. "Корреспондентские счета в коммерческих банках стран СНГ" признать утратившей силу;</w:t>
      </w:r>
    </w:p>
    <w:p>
      <w:pPr>
        <w:spacing w:after="120"/>
        <w:jc w:val="both"/>
      </w:pPr>
      <w:r>
        <w:rPr>
          <w:rFonts w:ascii="Arial" w:cs="Arial" w:eastAsia="Arial" w:hAnsi="Arial"/>
          <w:sz w:val="24"/>
          <w:szCs w:val="24"/>
        </w:rPr>
        <w:t xml:space="preserve">строку 60.6 статьи 60. "Корреспондентские счета в иностранных банках, кроме стран СНГ" признать утратившей силу;</w:t>
      </w:r>
    </w:p>
    <w:p>
      <w:pPr>
        <w:spacing w:after="120"/>
        <w:jc w:val="both"/>
      </w:pPr>
      <w:r>
        <w:rPr>
          <w:rFonts w:ascii="Arial" w:cs="Arial" w:eastAsia="Arial" w:hAnsi="Arial"/>
          <w:sz w:val="24"/>
          <w:szCs w:val="24"/>
        </w:rPr>
        <w:t xml:space="preserve">строку 90.6 статьи 90. "Денежные средства на счетах в банках и финансовых организациях стран СНГ" признать утратившей силу;</w:t>
      </w:r>
    </w:p>
    <w:p>
      <w:pPr>
        <w:spacing w:after="120"/>
        <w:jc w:val="both"/>
      </w:pPr>
      <w:r>
        <w:rPr>
          <w:rFonts w:ascii="Arial" w:cs="Arial" w:eastAsia="Arial" w:hAnsi="Arial"/>
          <w:sz w:val="24"/>
          <w:szCs w:val="24"/>
        </w:rPr>
        <w:t xml:space="preserve">строку 100.6 статьи 100. "Денежные средства на счетах в иностранных банках и финансовых организациях, кроме стран СНГ" признать утратившей силу;</w:t>
      </w:r>
    </w:p>
    <w:p>
      <w:pPr>
        <w:spacing w:after="120"/>
        <w:jc w:val="both"/>
      </w:pPr>
      <w:r>
        <w:rPr>
          <w:rFonts w:ascii="Arial" w:cs="Arial" w:eastAsia="Arial" w:hAnsi="Arial"/>
          <w:sz w:val="24"/>
          <w:szCs w:val="24"/>
        </w:rPr>
        <w:t xml:space="preserve">строку 110.6 статьи 110. "Краткосрочные межбанковские размещения до 7 дней" признать утратившей силу;</w:t>
      </w:r>
    </w:p>
    <w:p>
      <w:pPr>
        <w:spacing w:after="120"/>
        <w:jc w:val="both"/>
      </w:pPr>
      <w:r>
        <w:rPr>
          <w:rFonts w:ascii="Arial" w:cs="Arial" w:eastAsia="Arial" w:hAnsi="Arial"/>
          <w:sz w:val="24"/>
          <w:szCs w:val="24"/>
        </w:rPr>
        <w:t xml:space="preserve">строку 120.6 статьи 120. "Операции по РЕПО-соглашениям" признать утратившей силу;</w:t>
      </w:r>
    </w:p>
    <w:p>
      <w:pPr>
        <w:spacing w:after="120"/>
        <w:jc w:val="both"/>
      </w:pPr>
      <w:r>
        <w:rPr>
          <w:rFonts w:ascii="Arial" w:cs="Arial" w:eastAsia="Arial" w:hAnsi="Arial"/>
          <w:sz w:val="24"/>
          <w:szCs w:val="24"/>
        </w:rPr>
        <w:t xml:space="preserve">- в подразделе 15.Б. Портфель ценных бумаг банка в рамках "исламского окна":</w:t>
      </w:r>
    </w:p>
    <w:p>
      <w:pPr>
        <w:spacing w:after="120"/>
        <w:jc w:val="both"/>
      </w:pPr>
      <w:r>
        <w:rPr>
          <w:rFonts w:ascii="Arial" w:cs="Arial" w:eastAsia="Arial" w:hAnsi="Arial"/>
          <w:sz w:val="24"/>
          <w:szCs w:val="24"/>
        </w:rPr>
        <w:t xml:space="preserve">строку 150.6 статьи 150. "Ценные бумаги, выпущенные правительствами стран СНГ" признать утратившей силу;</w:t>
      </w:r>
    </w:p>
    <w:p>
      <w:pPr>
        <w:spacing w:after="120"/>
        <w:jc w:val="both"/>
      </w:pPr>
      <w:r>
        <w:rPr>
          <w:rFonts w:ascii="Arial" w:cs="Arial" w:eastAsia="Arial" w:hAnsi="Arial"/>
          <w:sz w:val="24"/>
          <w:szCs w:val="24"/>
        </w:rPr>
        <w:t xml:space="preserve">строку 160.6 статьи 160. "Ценные бумаги, выпущенные иностранными правительствами стран, кроме Правительства стран СНГ" признать утратившей силу;</w:t>
      </w:r>
    </w:p>
    <w:p>
      <w:pPr>
        <w:spacing w:after="120"/>
        <w:jc w:val="both"/>
      </w:pPr>
      <w:r>
        <w:rPr>
          <w:rFonts w:ascii="Arial" w:cs="Arial" w:eastAsia="Arial" w:hAnsi="Arial"/>
          <w:sz w:val="24"/>
          <w:szCs w:val="24"/>
        </w:rPr>
        <w:t xml:space="preserve">строку 170.6 статьи 170. "Долговые ценные бумаги кыргызских компаний" признать утратившей силу;</w:t>
      </w:r>
    </w:p>
    <w:p>
      <w:pPr>
        <w:spacing w:after="120"/>
        <w:jc w:val="both"/>
      </w:pPr>
      <w:r>
        <w:rPr>
          <w:rFonts w:ascii="Arial" w:cs="Arial" w:eastAsia="Arial" w:hAnsi="Arial"/>
          <w:sz w:val="24"/>
          <w:szCs w:val="24"/>
        </w:rPr>
        <w:t xml:space="preserve">строку 180.6 статьи 180. "Долговые ценные бумаги компаний стран СНГ" признать утратившей силу;</w:t>
      </w:r>
    </w:p>
    <w:p>
      <w:pPr>
        <w:spacing w:after="120"/>
        <w:jc w:val="both"/>
      </w:pPr>
      <w:r>
        <w:rPr>
          <w:rFonts w:ascii="Arial" w:cs="Arial" w:eastAsia="Arial" w:hAnsi="Arial"/>
          <w:sz w:val="24"/>
          <w:szCs w:val="24"/>
        </w:rPr>
        <w:t xml:space="preserve">строку 190.6 статьи 190. "Долговые ценные бумаги иностранных компаний, кроме стран СНГ" признать утратившей силу;</w:t>
      </w:r>
    </w:p>
    <w:p>
      <w:pPr>
        <w:spacing w:after="120"/>
        <w:jc w:val="both"/>
      </w:pPr>
      <w:r>
        <w:rPr>
          <w:rFonts w:ascii="Arial" w:cs="Arial" w:eastAsia="Arial" w:hAnsi="Arial"/>
          <w:sz w:val="24"/>
          <w:szCs w:val="24"/>
        </w:rPr>
        <w:t xml:space="preserve">строку 210.7 "Остальная часть капитальных ценных бумаг" признать утратившей силу;</w:t>
      </w:r>
    </w:p>
    <w:p>
      <w:pPr>
        <w:spacing w:after="120"/>
        <w:jc w:val="both"/>
      </w:pPr>
      <w:r>
        <w:rPr>
          <w:rFonts w:ascii="Arial" w:cs="Arial" w:eastAsia="Arial" w:hAnsi="Arial"/>
          <w:sz w:val="24"/>
          <w:szCs w:val="24"/>
        </w:rPr>
        <w:t xml:space="preserve">строку 220.7 "Остальная часть капитальных ценных бумаг" признать утратившей силу;</w:t>
      </w:r>
    </w:p>
    <w:p>
      <w:pPr>
        <w:spacing w:after="120"/>
        <w:jc w:val="both"/>
      </w:pPr>
      <w:r>
        <w:rPr>
          <w:rFonts w:ascii="Arial" w:cs="Arial" w:eastAsia="Arial" w:hAnsi="Arial"/>
          <w:sz w:val="24"/>
          <w:szCs w:val="24"/>
        </w:rPr>
        <w:t xml:space="preserve">строку 230.7 "Остальная часть капитальных ценных бумаг" признать утратившей силу;</w:t>
      </w:r>
    </w:p>
    <w:p>
      <w:pPr>
        <w:spacing w:after="120"/>
        <w:jc w:val="both"/>
      </w:pPr>
      <w:r>
        <w:rPr>
          <w:rFonts w:ascii="Arial" w:cs="Arial" w:eastAsia="Arial" w:hAnsi="Arial"/>
          <w:sz w:val="24"/>
          <w:szCs w:val="24"/>
        </w:rPr>
        <w:t xml:space="preserve">- в </w:t>
      </w:r>
      <w:hyperlink w:history="1" r:id="rIdysiemviluogbkuj-00rzs">
        <w:r>
          <w:rPr>
            <w:rFonts w:ascii="Arial" w:cs="Arial" w:eastAsia="Arial" w:hAnsi="Arial"/>
            <w:color w:val="1D4ED8"/>
            <w:sz w:val="24"/>
            <w:szCs w:val="24"/>
            <w:u w:val="single"/>
          </w:rPr>
          <w:t xml:space="preserve">подразделе 15.В</w:t>
        </w:r>
      </w:hyperlink>
      <w:r>
        <w:rPr>
          <w:rFonts w:ascii="Arial" w:cs="Arial" w:eastAsia="Arial" w:hAnsi="Arial"/>
          <w:sz w:val="24"/>
          <w:szCs w:val="24"/>
        </w:rPr>
        <w:t xml:space="preserve">. Финансирование:</w:t>
      </w:r>
    </w:p>
    <w:p>
      <w:pPr>
        <w:spacing w:after="120"/>
        <w:jc w:val="both"/>
      </w:pPr>
      <w:r>
        <w:rPr>
          <w:rFonts w:ascii="Arial" w:cs="Arial" w:eastAsia="Arial" w:hAnsi="Arial"/>
          <w:sz w:val="24"/>
          <w:szCs w:val="24"/>
        </w:rPr>
        <w:t xml:space="preserve">статью 240 "Финансирование, предоставленное банкам Кыргызской Республики" дополнить строкой 240.6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2681"/>
        <w:gridCol w:w="2025"/>
        <w:gridCol w:w="2048"/>
        <w:gridCol w:w="2032"/>
      </w:tblGrid>
      <w:tr>
        <w:tc>
          <w:tcPr>
            <w:tcW w:type="dxa" w:w="1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240.6</w:t>
            </w:r>
          </w:p>
        </w:tc>
        <w:tc>
          <w:tcPr>
            <w:tcW w:type="dxa" w:w="26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0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280 "Финансирование, предоставленное негосударственному сектору" дополнить строкой 280.6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2681"/>
        <w:gridCol w:w="2025"/>
        <w:gridCol w:w="2048"/>
        <w:gridCol w:w="2032"/>
      </w:tblGrid>
      <w:tr>
        <w:tc>
          <w:tcPr>
            <w:tcW w:type="dxa" w:w="1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280.6</w:t>
            </w:r>
          </w:p>
        </w:tc>
        <w:tc>
          <w:tcPr>
            <w:tcW w:type="dxa" w:w="26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0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290 "Финансирование, предоставленное физическим лицам для личных целей" дополнить строкой 290.6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2681"/>
        <w:gridCol w:w="2025"/>
        <w:gridCol w:w="2048"/>
        <w:gridCol w:w="2032"/>
      </w:tblGrid>
      <w:tr>
        <w:tc>
          <w:tcPr>
            <w:tcW w:type="dxa" w:w="1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290.6</w:t>
            </w:r>
          </w:p>
        </w:tc>
        <w:tc>
          <w:tcPr>
            <w:tcW w:type="dxa" w:w="26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0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310 "Финансирование, предоставленное негосударственному сектору для финансирования жилья" дополнить строкой 310.1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2681"/>
        <w:gridCol w:w="2025"/>
        <w:gridCol w:w="2048"/>
        <w:gridCol w:w="2032"/>
      </w:tblGrid>
      <w:tr>
        <w:tc>
          <w:tcPr>
            <w:tcW w:type="dxa" w:w="1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310.1</w:t>
            </w:r>
          </w:p>
        </w:tc>
        <w:tc>
          <w:tcPr>
            <w:tcW w:type="dxa" w:w="26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0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320 "Финансирование, предоставленное физическим лицам на покупку жилья" дополнить строкой 320.3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2681"/>
        <w:gridCol w:w="2025"/>
        <w:gridCol w:w="2048"/>
        <w:gridCol w:w="2032"/>
      </w:tblGrid>
      <w:tr>
        <w:tc>
          <w:tcPr>
            <w:tcW w:type="dxa" w:w="1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320.3</w:t>
            </w:r>
          </w:p>
        </w:tc>
        <w:tc>
          <w:tcPr>
            <w:tcW w:type="dxa" w:w="26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0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w:t>
      </w:r>
      <w:hyperlink w:history="1" r:id="rId357czzieok8xyowtvk55i">
        <w:r>
          <w:rPr>
            <w:rFonts w:ascii="Arial" w:cs="Arial" w:eastAsia="Arial" w:hAnsi="Arial"/>
            <w:color w:val="1D4ED8"/>
            <w:sz w:val="24"/>
            <w:szCs w:val="24"/>
            <w:u w:val="single"/>
          </w:rPr>
          <w:t xml:space="preserve">подразделе 15.В.</w:t>
        </w:r>
      </w:hyperlink>
      <w:r>
        <w:rPr>
          <w:rFonts w:ascii="Arial" w:cs="Arial" w:eastAsia="Arial" w:hAnsi="Arial"/>
          <w:sz w:val="24"/>
          <w:szCs w:val="24"/>
        </w:rPr>
        <w:t xml:space="preserve"> Финансирование (продолжение)/прочие активы:</w:t>
      </w:r>
    </w:p>
    <w:p>
      <w:pPr>
        <w:spacing w:after="120"/>
        <w:jc w:val="both"/>
      </w:pPr>
      <w:r>
        <w:rPr>
          <w:rFonts w:ascii="Arial" w:cs="Arial" w:eastAsia="Arial" w:hAnsi="Arial"/>
          <w:sz w:val="24"/>
          <w:szCs w:val="24"/>
        </w:rPr>
        <w:t xml:space="preserve">статью 340 "Финансирование, предоставленное на строительство негосударственному сектору" дополнить строкой 340.6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2681"/>
        <w:gridCol w:w="2025"/>
        <w:gridCol w:w="2048"/>
        <w:gridCol w:w="2032"/>
      </w:tblGrid>
      <w:tr>
        <w:tc>
          <w:tcPr>
            <w:tcW w:type="dxa" w:w="1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340.6</w:t>
            </w:r>
          </w:p>
        </w:tc>
        <w:tc>
          <w:tcPr>
            <w:tcW w:type="dxa" w:w="26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0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350 "Финансирование, предоставленное на строительство физическим лицам" дополнить строкой 350.6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2681"/>
        <w:gridCol w:w="2025"/>
        <w:gridCol w:w="2048"/>
        <w:gridCol w:w="2032"/>
      </w:tblGrid>
      <w:tr>
        <w:tc>
          <w:tcPr>
            <w:tcW w:type="dxa" w:w="1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350.6</w:t>
            </w:r>
          </w:p>
        </w:tc>
        <w:tc>
          <w:tcPr>
            <w:tcW w:type="dxa" w:w="26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0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360 "Финансирование, предоставленное по договору Иджара" дополнить строкой 360.6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2681"/>
        <w:gridCol w:w="2025"/>
        <w:gridCol w:w="2048"/>
        <w:gridCol w:w="2032"/>
      </w:tblGrid>
      <w:tr>
        <w:tc>
          <w:tcPr>
            <w:tcW w:type="dxa" w:w="1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360.6</w:t>
            </w:r>
          </w:p>
        </w:tc>
        <w:tc>
          <w:tcPr>
            <w:tcW w:type="dxa" w:w="26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0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370 "Финансирование, предоставленное по договорам мушарака, мудараба в частное коммерческое предприятие с целью осуществления предпринимательской деятельности, отличной от торговых операций с иностранной валютой, акциями и/или товарами"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3408"/>
        <w:gridCol w:w="1494"/>
        <w:gridCol w:w="1877"/>
        <w:gridCol w:w="2007"/>
      </w:tblGrid>
      <w:tr>
        <w:tc>
          <w:tcPr>
            <w:tcW w:type="dxa" w:w="1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34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по договорам мушарака, мудараба</w:t>
            </w:r>
          </w:p>
        </w:tc>
        <w:tc>
          <w:tcPr>
            <w:tcW w:type="dxa" w:w="14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370.1</w:t>
            </w:r>
          </w:p>
        </w:tc>
        <w:tc>
          <w:tcPr>
            <w:tcW w:type="dxa" w:w="3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370.2</w:t>
            </w:r>
          </w:p>
        </w:tc>
        <w:tc>
          <w:tcPr>
            <w:tcW w:type="dxa" w:w="3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370.3</w:t>
            </w:r>
          </w:p>
        </w:tc>
        <w:tc>
          <w:tcPr>
            <w:tcW w:type="dxa" w:w="3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370.4</w:t>
            </w:r>
          </w:p>
        </w:tc>
        <w:tc>
          <w:tcPr>
            <w:tcW w:type="dxa" w:w="3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370.5</w:t>
            </w:r>
          </w:p>
        </w:tc>
        <w:tc>
          <w:tcPr>
            <w:tcW w:type="dxa" w:w="3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370.6</w:t>
            </w:r>
          </w:p>
        </w:tc>
        <w:tc>
          <w:tcPr>
            <w:tcW w:type="dxa" w:w="3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370.7</w:t>
            </w:r>
          </w:p>
        </w:tc>
        <w:tc>
          <w:tcPr>
            <w:tcW w:type="dxa" w:w="3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Внести в </w:t>
      </w:r>
      <w:hyperlink w:history="1" r:id="rIdp197o14ggsyjvmqnx3v1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ljurybaulhxiwsugogzd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банков, осуществляющих операции в соответствии с исламскими принципами банковского дела и финансирования" от 30 марта 2011 года № 20/4 следующие изменения и дополнения:</w:t>
      </w:r>
    </w:p>
    <w:p>
      <w:pPr>
        <w:spacing w:after="120"/>
        <w:jc w:val="both"/>
      </w:pPr>
      <w:r>
        <w:rPr>
          <w:rFonts w:ascii="Arial" w:cs="Arial" w:eastAsia="Arial" w:hAnsi="Arial"/>
          <w:sz w:val="24"/>
          <w:szCs w:val="24"/>
        </w:rPr>
        <w:t xml:space="preserve">в </w:t>
      </w:r>
      <w:hyperlink w:history="1" r:id="rIdt0hlr3lpsbixd2-gqbfow">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банков, осуществляющих операции в соответствии с исламскими принципами банковского дела и финансирования", утвержденном вышеуказанным </w:t>
      </w:r>
      <w:hyperlink w:history="1" r:id="rId7pli3nmkpzx1n2tvmvapk">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в </w:t>
      </w:r>
      <w:hyperlink w:history="1" r:id="rIdcfkufnuj5tmf5zqrs_thp">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пункты 5, 13, 18 и 22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6"/>
        <w:gridCol w:w="957"/>
        <w:gridCol w:w="3233"/>
        <w:gridCol w:w="1767"/>
        <w:gridCol w:w="1742"/>
        <w:gridCol w:w="2013"/>
      </w:tblGrid>
      <w:tr>
        <w:tc>
          <w:tcPr>
            <w:tcW w:type="dxa" w:w="46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1</w:t>
            </w:r>
          </w:p>
        </w:tc>
        <w:tc>
          <w:tcPr>
            <w:tcW w:type="dxa" w:w="323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Балансовый отчет</w:t>
            </w:r>
          </w:p>
          <w:p>
            <w:pPr>
              <w:jc w:val="left"/>
            </w:pPr>
            <w:r>
              <w:rPr>
                <w:rFonts w:ascii="Arial" w:cs="Arial" w:eastAsia="Arial" w:hAnsi="Arial"/>
                <w:sz w:val="24"/>
                <w:szCs w:val="24"/>
              </w:rPr>
              <w:t xml:space="preserve">A. Активы</w:t>
            </w:r>
          </w:p>
          <w:p>
            <w:pPr>
              <w:jc w:val="left"/>
            </w:pPr>
            <w:r>
              <w:rPr>
                <w:rFonts w:ascii="Arial" w:cs="Arial" w:eastAsia="Arial" w:hAnsi="Arial"/>
                <w:sz w:val="24"/>
                <w:szCs w:val="24"/>
              </w:rPr>
              <w:t xml:space="preserve">Б. Обязательства</w:t>
            </w:r>
          </w:p>
          <w:p>
            <w:pPr>
              <w:jc w:val="left"/>
            </w:pPr>
            <w:r>
              <w:rPr>
                <w:rFonts w:ascii="Arial" w:cs="Arial" w:eastAsia="Arial" w:hAnsi="Arial"/>
                <w:sz w:val="24"/>
                <w:szCs w:val="24"/>
              </w:rPr>
              <w:t xml:space="preserve">B. Капитал</w:t>
            </w:r>
          </w:p>
          <w:p>
            <w:pPr>
              <w:jc w:val="left"/>
            </w:pPr>
            <w:r>
              <w:rPr>
                <w:rFonts w:ascii="Arial" w:cs="Arial" w:eastAsia="Arial" w:hAnsi="Arial"/>
                <w:sz w:val="24"/>
                <w:szCs w:val="24"/>
              </w:rPr>
              <w:t xml:space="preserve">Г. Забалансовые обязательства</w:t>
            </w:r>
          </w:p>
        </w:tc>
        <w:tc>
          <w:tcPr>
            <w:tcW w:type="dxa" w:w="176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Ежемесячно</w:t>
            </w:r>
          </w:p>
        </w:tc>
        <w:tc>
          <w:tcPr>
            <w:tcW w:type="dxa" w:w="174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В течение 5 рабочих дней после окончания отчетного периода</w:t>
            </w:r>
          </w:p>
        </w:tc>
        <w:tc>
          <w:tcPr>
            <w:tcW w:type="dxa" w:w="201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Расшифровка прочих активов и прочих обязательств банка</w:t>
            </w:r>
          </w:p>
          <w:p>
            <w:pPr>
              <w:jc w:val="left"/>
            </w:pPr>
            <w:r>
              <w:rPr>
                <w:rFonts w:ascii="Arial" w:cs="Arial" w:eastAsia="Arial" w:hAnsi="Arial"/>
                <w:sz w:val="24"/>
                <w:szCs w:val="24"/>
              </w:rPr>
              <w:t xml:space="preserve">Е. Обязательства перед Национальным банком</w:t>
            </w:r>
          </w:p>
          <w:p>
            <w:pPr>
              <w:jc w:val="left"/>
            </w:pPr>
            <w:r>
              <w:rPr>
                <w:rFonts w:ascii="Arial" w:cs="Arial" w:eastAsia="Arial" w:hAnsi="Arial"/>
                <w:sz w:val="24"/>
                <w:szCs w:val="24"/>
              </w:rPr>
              <w:t xml:space="preserve">Ж. Размещение активов банка по страновому признаку</w:t>
            </w:r>
          </w:p>
          <w:p>
            <w:pPr>
              <w:jc w:val="left"/>
            </w:pPr>
            <w:r>
              <w:rPr>
                <w:rFonts w:ascii="Arial" w:cs="Arial" w:eastAsia="Arial" w:hAnsi="Arial"/>
                <w:sz w:val="24"/>
                <w:szCs w:val="24"/>
              </w:rPr>
              <w:t xml:space="preserve">З. Привлечение обязательств банка по страновому признаку</w:t>
            </w:r>
          </w:p>
          <w:p>
            <w:pPr>
              <w:jc w:val="left"/>
            </w:pPr>
            <w:r>
              <w:rPr>
                <w:rFonts w:ascii="Arial" w:cs="Arial" w:eastAsia="Arial" w:hAnsi="Arial"/>
                <w:sz w:val="24"/>
                <w:szCs w:val="24"/>
              </w:rPr>
              <w:t xml:space="preserve">И. Привлечение обязательств банка по страновому признаку (в иностранной валюте)</w:t>
            </w:r>
          </w:p>
          <w:p>
            <w:pPr>
              <w:jc w:val="left"/>
            </w:pPr>
            <w:r>
              <w:rPr>
                <w:rFonts w:ascii="Arial" w:cs="Arial" w:eastAsia="Arial" w:hAnsi="Arial"/>
                <w:sz w:val="24"/>
                <w:szCs w:val="24"/>
              </w:rPr>
              <w:t xml:space="preserve">К. Привлечение капитала по страновому признаку</w:t>
            </w:r>
          </w:p>
          <w:p>
            <w:pPr>
              <w:jc w:val="left"/>
            </w:pPr>
            <w:r>
              <w:rPr>
                <w:rFonts w:ascii="Arial" w:cs="Arial" w:eastAsia="Arial" w:hAnsi="Arial"/>
                <w:sz w:val="24"/>
                <w:szCs w:val="24"/>
              </w:rPr>
              <w:t xml:space="preserve">Л. Объем финансирования по отраслям в разрезе областей Кыргызской Республики</w:t>
            </w:r>
          </w:p>
        </w:tc>
        <w:tc>
          <w:tcPr>
            <w:tcW w:type="dxa" w:w="17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7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Классификация предоставленного финансирования по степени риска в разрезе областей Кыргызской Республики</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 Объем денежных средств (по источникам привлечения) на счетах клиентов в разрезе областей Кыргызской Республики</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Прочие сведения банка в разрезе областей Кыргызской Республики</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Информация о базе счетов клиентов</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рабочих дней после окончания отчетного периода</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65"/>
            <w:gridSpan w:val="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9</w:t>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крупных рисках</w:t>
            </w:r>
          </w:p>
          <w:p>
            <w:pPr>
              <w:jc w:val="left"/>
            </w:pPr>
            <w:r>
              <w:rPr>
                <w:rFonts w:ascii="Arial" w:cs="Arial" w:eastAsia="Arial" w:hAnsi="Arial"/>
                <w:sz w:val="24"/>
                <w:szCs w:val="24"/>
              </w:rPr>
              <w:t xml:space="preserve">А. Сведения о крупных рисках</w:t>
            </w:r>
          </w:p>
          <w:p>
            <w:pPr>
              <w:jc w:val="left"/>
            </w:pPr>
            <w:r>
              <w:rPr>
                <w:rFonts w:ascii="Arial" w:cs="Arial" w:eastAsia="Arial" w:hAnsi="Arial"/>
                <w:sz w:val="24"/>
                <w:szCs w:val="24"/>
              </w:rPr>
              <w:t xml:space="preserve">А-1. Сведения по 15 крупным источниками финансирования, в том числе ФКО и государственные учреждения (Социальный фонд КР и так далее)</w:t>
            </w:r>
          </w:p>
          <w:p>
            <w:pPr>
              <w:jc w:val="left"/>
            </w:pPr>
            <w:r>
              <w:rPr>
                <w:rFonts w:ascii="Arial" w:cs="Arial" w:eastAsia="Arial" w:hAnsi="Arial"/>
                <w:sz w:val="24"/>
                <w:szCs w:val="24"/>
              </w:rPr>
              <w:t xml:space="preserve">Б. Сведения по остаткам денежных средств на корреспондентских счетах</w:t>
            </w:r>
          </w:p>
          <w:p>
            <w:pPr>
              <w:jc w:val="left"/>
            </w:pPr>
            <w:r>
              <w:rPr>
                <w:rFonts w:ascii="Arial" w:cs="Arial" w:eastAsia="Arial" w:hAnsi="Arial"/>
                <w:sz w:val="24"/>
                <w:szCs w:val="24"/>
              </w:rPr>
              <w:t xml:space="preserve">Б-1. Сведения по средствам, размещенным на депозитных счетах</w:t>
            </w:r>
          </w:p>
          <w:p>
            <w:pPr>
              <w:jc w:val="left"/>
            </w:pPr>
            <w:r>
              <w:rPr>
                <w:rFonts w:ascii="Arial" w:cs="Arial" w:eastAsia="Arial" w:hAnsi="Arial"/>
                <w:sz w:val="24"/>
                <w:szCs w:val="24"/>
              </w:rPr>
              <w:t xml:space="preserve">Г. Информация о брокере/дилере/депозитарии, обслуживающем банк</w:t>
            </w:r>
          </w:p>
          <w:p>
            <w:pPr>
              <w:jc w:val="left"/>
            </w:pPr>
            <w:r>
              <w:rPr>
                <w:rFonts w:ascii="Arial" w:cs="Arial" w:eastAsia="Arial" w:hAnsi="Arial"/>
                <w:sz w:val="24"/>
                <w:szCs w:val="24"/>
              </w:rPr>
              <w:t xml:space="preserve">Д. Информация об операциях с корпоративными и государственными ценными бумагами</w:t>
            </w:r>
          </w:p>
          <w:p>
            <w:pPr>
              <w:jc w:val="left"/>
            </w:pPr>
            <w:r>
              <w:rPr>
                <w:rFonts w:ascii="Arial" w:cs="Arial" w:eastAsia="Arial" w:hAnsi="Arial"/>
                <w:sz w:val="24"/>
                <w:szCs w:val="24"/>
              </w:rPr>
              <w:t xml:space="preserve">Е. Портфель корпоративных и государственных ценных бумаг банка</w:t>
            </w:r>
          </w:p>
          <w:p>
            <w:pPr>
              <w:jc w:val="left"/>
            </w:pPr>
            <w:r>
              <w:rPr>
                <w:rFonts w:ascii="Arial" w:cs="Arial" w:eastAsia="Arial" w:hAnsi="Arial"/>
                <w:sz w:val="24"/>
                <w:szCs w:val="24"/>
              </w:rPr>
              <w:t xml:space="preserve">Ж. Портфель корпоративных и государственных ценных бумаг клиентов</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рабочих дней после окончания отчетного периода</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 1 к Инструкции о пределах финансирования, осуществляемого в соответствии с исламскими принципами банковского дела и финансирования. Приложение № 2 к Инструкции о пределах финансирования, осуществляемого в соответствии с исламскими принципами банковского дела и финансирования</w:t>
            </w:r>
          </w:p>
        </w:tc>
      </w:tr>
      <w:tr>
        <w:tc>
          <w:tcPr>
            <w:tcW w:type="dxa" w:w="10178"/>
            <w:gridSpan w:val="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14</w:t>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соблюдении экономических нормативов и поддержке дополнительного запаса капитала банка (индекс "буфер капитала")</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календарных дней со дня окончания отчетного периода</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 1 Положения об экономических нормативах и требованиях, обязательных для выполнения коммерческими банками Кыргызской Республики</w:t>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Ежедневный отчет о соблюдении норматива максимального размера риска на одного заемщика</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9.00 по состоянию на конец последнего операционного дня</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Отчет о соблюдении экономического норматива достаточности (адекватности) капитала и норматива (показателя) ликвидности</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календарных дней со дня окончания отчетного периода</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Ежедневный отчет о соблюдении норматива максимального размера риска по срочным счетам и прочим обязательствам перед физическими лицами</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9.00 по состоянию на конец последнего операционного дня</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Отчет о соблюдении норматива максимального размера риска по счетам до востребования физических лиц</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Отчет о выполнении требований Национального банка</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Отчет о соблюдении норматива (показателя) краткосрочной ликвидности (К3.2)</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Еженедельно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9.00 в первый рабочий день недели, следующей за отчетной неделей</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Ежедневный отчет о соблюдении норматива (показателя) мгновенной ликвидности (К3.3)</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9.00 по состоянию на конец последнего операционного дня</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Информация об объеме финансирования, предоставленного членам ГСО</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календарных дней со дня окончания отчетного периода</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18</w:t>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сведения</w:t>
            </w:r>
          </w:p>
          <w:p>
            <w:pPr>
              <w:jc w:val="left"/>
            </w:pPr>
            <w:r>
              <w:rPr>
                <w:rFonts w:ascii="Arial" w:cs="Arial" w:eastAsia="Arial" w:hAnsi="Arial"/>
                <w:sz w:val="24"/>
                <w:szCs w:val="24"/>
              </w:rPr>
              <w:t xml:space="preserve">A. Среднее значение активов и обязательств за месяц</w:t>
            </w:r>
          </w:p>
          <w:p>
            <w:pPr>
              <w:jc w:val="left"/>
            </w:pPr>
            <w:r>
              <w:rPr>
                <w:rFonts w:ascii="Arial" w:cs="Arial" w:eastAsia="Arial" w:hAnsi="Arial"/>
                <w:sz w:val="24"/>
                <w:szCs w:val="24"/>
              </w:rPr>
              <w:t xml:space="preserve">Б. Прочие сведения о деятельности банка</w:t>
            </w:r>
          </w:p>
          <w:p>
            <w:pPr>
              <w:jc w:val="left"/>
            </w:pPr>
            <w:r>
              <w:rPr>
                <w:rFonts w:ascii="Arial" w:cs="Arial" w:eastAsia="Arial" w:hAnsi="Arial"/>
                <w:sz w:val="24"/>
                <w:szCs w:val="24"/>
              </w:rPr>
              <w:t xml:space="preserve">B. О персонале банка</w:t>
            </w:r>
          </w:p>
          <w:p>
            <w:pPr>
              <w:jc w:val="left"/>
            </w:pPr>
            <w:r>
              <w:rPr>
                <w:rFonts w:ascii="Arial" w:cs="Arial" w:eastAsia="Arial" w:hAnsi="Arial"/>
                <w:sz w:val="24"/>
                <w:szCs w:val="24"/>
              </w:rPr>
              <w:t xml:space="preserve">Г. Сведения по клиентам с наибольшими оборотами по счетам</w:t>
            </w:r>
          </w:p>
          <w:p>
            <w:pPr>
              <w:jc w:val="left"/>
            </w:pPr>
            <w:r>
              <w:rPr>
                <w:rFonts w:ascii="Arial" w:cs="Arial" w:eastAsia="Arial" w:hAnsi="Arial"/>
                <w:sz w:val="24"/>
                <w:szCs w:val="24"/>
              </w:rPr>
              <w:t xml:space="preserve">Д. Сведения о количестве и сумме сообщений в СФР</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рабочих дней после окончания отчетного периода</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Информация по прочей собственности (недвижимое имущество), принятой коммерческими банками на баланс в счет погашения задолженности по проблемным кредитам</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рабочих дней после окончания отчетного периода</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Сведения по остаткам денежных средств на счетах государственных предприятий, хозяйствующих субъектов с государственной долей участия, органов государственной власти</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рабочих дней после окончания отчетного периода</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Информация по максимальной и минимальной наценке по действующему финансированию и депозитам, включая установленные на индивидуальной основе</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рабочих дней после окончания отчетного периода</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Информация о риск-событиях банка</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рабочих дней после окончания отчетного периода</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w:t>
      </w:r>
      <w:hyperlink w:history="1" r:id="rIdynghmkv86d9ryavbdnscz">
        <w:r>
          <w:rPr>
            <w:rFonts w:ascii="Arial" w:cs="Arial" w:eastAsia="Arial" w:hAnsi="Arial"/>
            <w:color w:val="1D4ED8"/>
            <w:sz w:val="24"/>
            <w:szCs w:val="24"/>
            <w:u w:val="single"/>
          </w:rPr>
          <w:t xml:space="preserve">Приложении 2:</w:t>
        </w:r>
      </w:hyperlink>
    </w:p>
    <w:p>
      <w:pPr>
        <w:spacing w:after="120"/>
        <w:jc w:val="both"/>
      </w:pPr>
      <w:r>
        <w:rPr>
          <w:rFonts w:ascii="Arial" w:cs="Arial" w:eastAsia="Arial" w:hAnsi="Arial"/>
          <w:sz w:val="24"/>
          <w:szCs w:val="24"/>
        </w:rPr>
        <w:t xml:space="preserve">- раздел 1.А. "Балансовый отчет" дополнить подразделом "П. Информация о базе счетов клиентов" следующего содержания:</w:t>
      </w:r>
    </w:p>
    <w:p>
      <w:pPr>
        <w:spacing w:after="120"/>
        <w:jc w:val="both"/>
      </w:pPr>
      <w:r>
        <w:rPr>
          <w:rFonts w:ascii="Arial" w:cs="Arial" w:eastAsia="Arial" w:hAnsi="Arial"/>
          <w:sz w:val="24"/>
          <w:szCs w:val="24"/>
        </w:rPr>
        <w:t xml:space="preserve">"П. Информация о базе счетов клиентов</w:t>
      </w:r>
    </w:p>
    <w:p>
      <w:pPr>
        <w:spacing w:after="120"/>
        <w:jc w:val="both"/>
      </w:pPr>
      <w:r>
        <w:rPr>
          <w:rFonts w:ascii="Arial" w:cs="Arial" w:eastAsia="Arial" w:hAnsi="Arial"/>
          <w:sz w:val="24"/>
          <w:szCs w:val="24"/>
        </w:rPr>
        <w:t xml:space="preserve">(в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39"/>
        <w:gridCol w:w="1520"/>
        <w:gridCol w:w="1520"/>
      </w:tblGrid>
      <w:tr>
        <w:tc>
          <w:tcPr>
            <w:tcW w:type="dxa" w:w="713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статьи</w:t>
            </w:r>
          </w:p>
        </w:tc>
        <w:tc>
          <w:tcPr>
            <w:tcW w:type="dxa" w:w="304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r>
        <w:tc>
          <w:tcPr>
            <w:vMerge w:val="continue"/>
            <w:tcBorders>
              <w:top w:val="single" w:color="CBBF9E" w:sz="4"/>
              <w:left w:val="single" w:color="CBBF9E" w:sz="4"/>
              <w:bottom w:val="single" w:color="CBBF9E" w:sz="4"/>
              <w:right w:val="single" w:color="CBBF9E" w:sz="4"/>
            </w:tcBorders>
          </w:tcP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r>
      <w:tr>
        <w:tc>
          <w:tcPr>
            <w:tcW w:type="dxa" w:w="71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Депозиты физических лиц, в том числе:</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1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депозиты до востребования</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71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срочные депозиты</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71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Депозиты юридических лиц (кроме ИП), в том числе:</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1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депозиты до востребования</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71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срочные депозиты</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71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Депозиты индивидуальных предпринимателей, в том числе:</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1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депозиты до востребования</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71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срочные депозиты</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71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Страховые депозиты системы денежных переводов</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разделы 9.А-1. "Сведения по 15 крупным источниками финансирования, в том числе ФКО и государственные учреждения (Социальный фонд КР и так далее)", 9.Б. "Информация о банках-корреспондентах" и Б-1. "Сведения по остаткам денежных средств на корреспондентских счетах по состоянию на отчетную дату)", изложить в следующей редакции:</w:t>
      </w:r>
    </w:p>
    <w:p>
      <w:pPr>
        <w:spacing w:after="120"/>
        <w:jc w:val="right"/>
      </w:pPr>
      <w:r>
        <w:rPr>
          <w:rFonts w:ascii="Arial" w:cs="Arial" w:eastAsia="Arial" w:hAnsi="Arial"/>
          <w:sz w:val="24"/>
          <w:szCs w:val="24"/>
        </w:rPr>
        <w:t xml:space="preserve">"Периодический регулятивный банковский отчет
 по состоянию на "___" _____________ 20__ года</w:t>
      </w:r>
    </w:p>
    <w:p>
      <w:pPr>
        <w:spacing w:after="120"/>
        <w:jc w:val="both"/>
      </w:pPr>
      <w:r>
        <w:rPr>
          <w:rFonts w:ascii="Arial" w:cs="Arial" w:eastAsia="Arial" w:hAnsi="Arial"/>
          <w:sz w:val="24"/>
          <w:szCs w:val="24"/>
        </w:rPr>
        <w:t xml:space="preserve">РАЗДЕЛ 9.А-1. СВЕДЕНИЯ ПО 15 КРУПНЫМ ИСТОЧНИКАМ ФИНАНСИРОВАНИЯ, в том числе ФКО и государственные учреждения (Социальный Фонд КР и т.д.)</w:t>
      </w:r>
    </w:p>
    <w:p>
      <w:pPr>
        <w:spacing w:after="120"/>
        <w:jc w:val="both"/>
      </w:pPr>
      <w:r>
        <w:rPr>
          <w:rFonts w:ascii="Arial" w:cs="Arial" w:eastAsia="Arial" w:hAnsi="Arial"/>
          <w:sz w:val="24"/>
          <w:szCs w:val="24"/>
        </w:rPr>
        <w:t xml:space="preserve">(в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
        <w:gridCol w:w="1565"/>
        <w:gridCol w:w="845"/>
        <w:gridCol w:w="754"/>
        <w:gridCol w:w="754"/>
        <w:gridCol w:w="754"/>
        <w:gridCol w:w="754"/>
        <w:gridCol w:w="635"/>
        <w:gridCol w:w="910"/>
        <w:gridCol w:w="916"/>
        <w:gridCol w:w="924"/>
        <w:gridCol w:w="1083"/>
      </w:tblGrid>
      <w:tr>
        <w:tc>
          <w:tcPr>
            <w:tcW w:type="dxa" w:w="28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вкладчика*/кредитора</w:t>
            </w:r>
          </w:p>
        </w:tc>
        <w:tc>
          <w:tcPr>
            <w:tcW w:type="dxa" w:w="8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вкладчика/
 кредитора</w:t>
            </w:r>
          </w:p>
        </w:tc>
        <w:tc>
          <w:tcPr>
            <w:tcW w:type="dxa" w:w="301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предоставленного финансирования/депозита**</w:t>
            </w:r>
          </w:p>
        </w:tc>
        <w:tc>
          <w:tcPr>
            <w:tcW w:type="dxa" w:w="6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9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Наценка/
 Норма доходности</w:t>
            </w:r>
          </w:p>
        </w:tc>
        <w:tc>
          <w:tcPr>
            <w:tcW w:type="dxa" w:w="91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заключения договора</w:t>
            </w:r>
          </w:p>
        </w:tc>
        <w:tc>
          <w:tcPr>
            <w:tcW w:type="dxa" w:w="9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завершения договора***</w:t>
            </w:r>
          </w:p>
        </w:tc>
        <w:tc>
          <w:tcPr>
            <w:tcW w:type="dxa" w:w="108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 (обременение, и т.д.)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
 рование</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расчетный счет</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срочный депозит</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 до востре-
 бования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обязательств по 15 крупным источникам финансирования</w:t>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22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депозиты, выступающие обеспечением по финансированию, не включаются в данную таблицу;</w:t>
      </w:r>
    </w:p>
    <w:p>
      <w:pPr>
        <w:spacing w:after="120"/>
        <w:jc w:val="both"/>
      </w:pPr>
      <w:r>
        <w:rPr>
          <w:rFonts w:ascii="Arial" w:cs="Arial" w:eastAsia="Arial" w:hAnsi="Arial"/>
          <w:sz w:val="24"/>
          <w:szCs w:val="24"/>
        </w:rPr>
        <w:t xml:space="preserve">** указывается остаток по финансированию или депозиту (по депозитам - в разбивке на до востребования, расчетный и срочный) на отчетную дату;</w:t>
      </w:r>
    </w:p>
    <w:p>
      <w:pPr>
        <w:spacing w:after="120"/>
        <w:jc w:val="both"/>
      </w:pPr>
      <w:r>
        <w:rPr>
          <w:rFonts w:ascii="Arial" w:cs="Arial" w:eastAsia="Arial" w:hAnsi="Arial"/>
          <w:sz w:val="24"/>
          <w:szCs w:val="24"/>
        </w:rPr>
        <w:t xml:space="preserve">*** по депозитам до востребования и расчетным счетам ячейка оставляется пустой.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Периодический регулятивный банковский отчет
 по состоянию на "___" _____________ 20__ года</w:t>
      </w:r>
    </w:p>
    <w:p>
      <w:pPr>
        <w:spacing w:after="120"/>
        <w:jc w:val="both"/>
      </w:pPr>
      <w:r>
        <w:rPr>
          <w:rFonts w:ascii="Arial" w:cs="Arial" w:eastAsia="Arial" w:hAnsi="Arial"/>
          <w:sz w:val="24"/>
          <w:szCs w:val="24"/>
        </w:rPr>
        <w:t xml:space="preserve">РАЗДЕЛ 9.Б. ИНФОРМАЦИЯ О БАНКАХ-КОРРЕСПОНДЕНТАХ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
        <w:gridCol w:w="1471"/>
        <w:gridCol w:w="1054"/>
        <w:gridCol w:w="576"/>
        <w:gridCol w:w="735"/>
        <w:gridCol w:w="991"/>
        <w:gridCol w:w="1005"/>
        <w:gridCol w:w="887"/>
        <w:gridCol w:w="610"/>
        <w:gridCol w:w="631"/>
        <w:gridCol w:w="631"/>
        <w:gridCol w:w="631"/>
        <w:gridCol w:w="631"/>
      </w:tblGrid>
      <w:tr>
        <w:tc>
          <w:tcPr>
            <w:tcW w:type="dxa" w:w="32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47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значный SWIFT-код банка/
 Идентификационный код (для небанковских организаций)</w:t>
            </w:r>
          </w:p>
        </w:tc>
        <w:tc>
          <w:tcPr>
            <w:tcW w:type="dxa" w:w="10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банка/
 Наименование ЮЛ (для небанковских организаций)</w:t>
            </w:r>
          </w:p>
        </w:tc>
        <w:tc>
          <w:tcPr>
            <w:tcW w:type="dxa" w:w="5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w:t>
            </w:r>
          </w:p>
        </w:tc>
        <w:tc>
          <w:tcPr>
            <w:tcW w:type="dxa" w:w="7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Страна принад-
 лежности</w:t>
            </w:r>
          </w:p>
        </w:tc>
        <w:tc>
          <w:tcPr>
            <w:tcW w:type="dxa" w:w="99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рейтингового агентства</w:t>
            </w:r>
          </w:p>
        </w:tc>
        <w:tc>
          <w:tcPr>
            <w:tcW w:type="dxa" w:w="100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Присвоенный рейтинг (если имеется)</w:t>
            </w:r>
          </w:p>
        </w:tc>
        <w:tc>
          <w:tcPr>
            <w:tcW w:type="dxa" w:w="88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присвоения рейтинга</w:t>
            </w:r>
          </w:p>
        </w:tc>
        <w:tc>
          <w:tcPr>
            <w:tcW w:type="dxa" w:w="6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126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6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РППУ</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номинале</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сомах</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номинале</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сомах</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Периодический регулятивный банковский отчет
 по состоянию на "___" 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9.Б-1. СВЕДЕНИЯ ПО СРЕДСТВАМ, РАЗМЕЩЕННЫМ НА ДЕПОЗИТНЫХ СЧЕТАХ</w:t>
      </w:r>
    </w:p>
    <w:p>
      <w:pPr>
        <w:spacing w:after="120"/>
        <w:jc w:val="both"/>
      </w:pPr>
      <w:r>
        <w:rPr>
          <w:rFonts w:ascii="Arial" w:cs="Arial" w:eastAsia="Arial" w:hAnsi="Arial"/>
          <w:sz w:val="24"/>
          <w:szCs w:val="24"/>
        </w:rPr>
        <w:t xml:space="preserve">(в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1"/>
        <w:gridCol w:w="977"/>
        <w:gridCol w:w="682"/>
        <w:gridCol w:w="954"/>
        <w:gridCol w:w="954"/>
        <w:gridCol w:w="655"/>
        <w:gridCol w:w="566"/>
        <w:gridCol w:w="450"/>
        <w:gridCol w:w="450"/>
        <w:gridCol w:w="816"/>
        <w:gridCol w:w="822"/>
        <w:gridCol w:w="810"/>
        <w:gridCol w:w="861"/>
        <w:gridCol w:w="861"/>
      </w:tblGrid>
      <w:tr>
        <w:tc>
          <w:tcPr>
            <w:tcW w:type="dxa" w:w="32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9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банка</w:t>
            </w:r>
          </w:p>
        </w:tc>
        <w:tc>
          <w:tcPr>
            <w:tcW w:type="dxa" w:w="68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Страна принадлежности</w:t>
            </w:r>
          </w:p>
        </w:tc>
        <w:tc>
          <w:tcPr>
            <w:tcW w:type="dxa" w:w="190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Рейтинг</w:t>
            </w:r>
          </w:p>
        </w:tc>
        <w:tc>
          <w:tcPr>
            <w:tcW w:type="dxa" w:w="6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сумма депозита</w:t>
            </w:r>
          </w:p>
        </w:tc>
        <w:tc>
          <w:tcPr>
            <w:tcW w:type="dxa" w:w="56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90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1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заключения договора</w:t>
            </w:r>
          </w:p>
        </w:tc>
        <w:tc>
          <w:tcPr>
            <w:tcW w:type="dxa" w:w="82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завершения договора</w:t>
            </w:r>
          </w:p>
        </w:tc>
        <w:tc>
          <w:tcPr>
            <w:tcW w:type="dxa" w:w="8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 доходности</w:t>
            </w:r>
          </w:p>
        </w:tc>
        <w:tc>
          <w:tcPr>
            <w:tcW w:type="dxa" w:w="8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включаемые в расчет норматива (показателя) К1.3</w:t>
            </w:r>
          </w:p>
        </w:tc>
        <w:tc>
          <w:tcPr>
            <w:tcW w:type="dxa" w:w="8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включаемые в расчет норматива (показателя) К1.4</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агентства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Присвоенный рейтинг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номинале</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сомах</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разделе 14. "Сведения о соблюдении экономических нормативов и поддержке дополнительного запаса капитала (индекс "буфер капитала")":</w:t>
      </w:r>
    </w:p>
    <w:p>
      <w:pPr>
        <w:spacing w:after="120"/>
        <w:jc w:val="both"/>
      </w:pPr>
      <w:r>
        <w:rPr>
          <w:rFonts w:ascii="Arial" w:cs="Arial" w:eastAsia="Arial" w:hAnsi="Arial"/>
          <w:sz w:val="24"/>
          <w:szCs w:val="24"/>
        </w:rPr>
        <w:t xml:space="preserve">подраздел Б. "Отчет о соблюдении экономического норматива достаточности (адекватности) капитала и норматива (показателя) ликвидности" изложить в следующей реакции:</w:t>
      </w:r>
    </w:p>
    <w:p>
      <w:pPr>
        <w:spacing w:after="120"/>
        <w:jc w:val="both"/>
      </w:pPr>
      <w:r>
        <w:rPr>
          <w:rFonts w:ascii="Arial" w:cs="Arial" w:eastAsia="Arial" w:hAnsi="Arial"/>
          <w:sz w:val="24"/>
          <w:szCs w:val="24"/>
        </w:rPr>
        <w:t xml:space="preserve">"Б. Отчет о соблюдении экономического норматива достаточности (адекватности) капитала и норматива (показателя) ликвидности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7"/>
        <w:gridCol w:w="1254"/>
        <w:gridCol w:w="1142"/>
        <w:gridCol w:w="1466"/>
        <w:gridCol w:w="1663"/>
        <w:gridCol w:w="1796"/>
      </w:tblGrid>
      <w:tr>
        <w:tc>
          <w:tcPr>
            <w:tcW w:type="dxa" w:w="28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экономических нормативов и требований, дополнительный запас капитала банка (индекс "буфер капитала")</w:t>
            </w:r>
          </w:p>
        </w:tc>
        <w:tc>
          <w:tcPr>
            <w:tcW w:type="dxa" w:w="12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норматива</w:t>
            </w:r>
          </w:p>
        </w:tc>
        <w:tc>
          <w:tcPr>
            <w:tcW w:type="dxa" w:w="1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норматива</w:t>
            </w:r>
          </w:p>
        </w:tc>
        <w:tc>
          <w:tcPr>
            <w:tcW w:type="dxa" w:w="16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Установленное значение норматива</w:t>
            </w:r>
          </w:p>
        </w:tc>
        <w:tc>
          <w:tcPr>
            <w:tcW w:type="dxa" w:w="17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установленного норматива</w:t>
            </w:r>
          </w:p>
        </w:tc>
      </w:tr>
      <w:tr>
        <w:tc>
          <w:tcPr>
            <w:tcW w:type="dxa" w:w="285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достаточности (адекватности) капитала</w:t>
            </w:r>
          </w:p>
        </w:tc>
        <w:tc>
          <w:tcPr>
            <w:tcW w:type="dxa" w:w="12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w:t>
            </w:r>
          </w:p>
        </w:tc>
        <w:tc>
          <w:tcPr>
            <w:tcW w:type="dxa" w:w="14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12%</w:t>
            </w:r>
          </w:p>
        </w:tc>
        <w:tc>
          <w:tcPr>
            <w:tcW w:type="dxa" w:w="17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2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ЧКПУ</w:t>
            </w:r>
          </w:p>
        </w:tc>
        <w:tc>
          <w:tcPr>
            <w:tcW w:type="dxa" w:w="14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w:t>
            </w:r>
          </w:p>
        </w:tc>
        <w:tc>
          <w:tcPr>
            <w:tcW w:type="dxa" w:w="17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2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w:t>
            </w:r>
          </w:p>
        </w:tc>
        <w:tc>
          <w:tcPr>
            <w:tcW w:type="dxa" w:w="14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8%</w:t>
            </w:r>
          </w:p>
        </w:tc>
        <w:tc>
          <w:tcPr>
            <w:tcW w:type="dxa" w:w="17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5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ликвидности</w:t>
            </w:r>
          </w:p>
        </w:tc>
        <w:tc>
          <w:tcPr>
            <w:tcW w:type="dxa" w:w="12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К3.1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w:t>
            </w:r>
          </w:p>
        </w:tc>
        <w:tc>
          <w:tcPr>
            <w:tcW w:type="dxa" w:w="14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45%</w:t>
            </w:r>
          </w:p>
        </w:tc>
        <w:tc>
          <w:tcPr>
            <w:tcW w:type="dxa" w:w="17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5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Дополнительный запас капитала банка (индекс "буфер капитала")</w:t>
            </w:r>
          </w:p>
        </w:tc>
        <w:tc>
          <w:tcPr>
            <w:tcW w:type="dxa" w:w="12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w:t>
            </w:r>
          </w:p>
        </w:tc>
        <w:tc>
          <w:tcPr>
            <w:tcW w:type="dxa" w:w="14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____% (указать значение)</w:t>
            </w:r>
          </w:p>
        </w:tc>
        <w:tc>
          <w:tcPr>
            <w:tcW w:type="dxa" w:w="17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4"/>
        <w:gridCol w:w="989"/>
        <w:gridCol w:w="989"/>
        <w:gridCol w:w="989"/>
        <w:gridCol w:w="989"/>
        <w:gridCol w:w="989"/>
        <w:gridCol w:w="989"/>
        <w:gridCol w:w="682"/>
      </w:tblGrid>
      <w:tr>
        <w:tc>
          <w:tcPr>
            <w:tcW w:type="dxa" w:w="35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Средние значения за отчетный период</w:t>
            </w:r>
          </w:p>
        </w:tc>
        <w:tc>
          <w:tcPr>
            <w:tcW w:type="dxa" w:w="9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неделя</w:t>
            </w:r>
          </w:p>
        </w:tc>
        <w:tc>
          <w:tcPr>
            <w:tcW w:type="dxa" w:w="9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неделя</w:t>
            </w:r>
          </w:p>
        </w:tc>
        <w:tc>
          <w:tcPr>
            <w:tcW w:type="dxa" w:w="9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неделя</w:t>
            </w:r>
          </w:p>
        </w:tc>
        <w:tc>
          <w:tcPr>
            <w:tcW w:type="dxa" w:w="9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 неделя</w:t>
            </w:r>
          </w:p>
        </w:tc>
        <w:tc>
          <w:tcPr>
            <w:tcW w:type="dxa" w:w="9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 неделя</w:t>
            </w:r>
          </w:p>
        </w:tc>
        <w:tc>
          <w:tcPr>
            <w:tcW w:type="dxa" w:w="9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 неделя</w:t>
            </w:r>
          </w:p>
        </w:tc>
        <w:tc>
          <w:tcPr>
            <w:tcW w:type="dxa" w:w="6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r>
        <w:tc>
          <w:tcPr>
            <w:tcW w:type="dxa" w:w="3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 - Ликвидные активы</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 - Обязательства банка</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К3.1 = (ЛА/ОБ) * 100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подраздел 14.Д. "Отчет о выполнении требований НБКР" изложить в следующей реакции:</w:t>
      </w:r>
    </w:p>
    <w:p>
      <w:pPr>
        <w:spacing w:after="120"/>
        <w:jc w:val="both"/>
      </w:pPr>
      <w:r>
        <w:rPr>
          <w:rFonts w:ascii="Arial" w:cs="Arial" w:eastAsia="Arial" w:hAnsi="Arial"/>
          <w:sz w:val="24"/>
          <w:szCs w:val="24"/>
        </w:rPr>
        <w:t xml:space="preserve">"14.Д. Отчет о выполнении требований НБКР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52"/>
        <w:gridCol w:w="1433"/>
        <w:gridCol w:w="2567"/>
        <w:gridCol w:w="1826"/>
      </w:tblGrid>
      <w:tr>
        <w:tc>
          <w:tcPr>
            <w:tcW w:type="dxa" w:w="43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Обозначение</w:t>
            </w:r>
          </w:p>
        </w:tc>
        <w:tc>
          <w:tcPr>
            <w:tcW w:type="dxa" w:w="14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w:t>
            </w:r>
          </w:p>
        </w:tc>
        <w:tc>
          <w:tcPr>
            <w:tcW w:type="dxa" w:w="25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Установленное значение</w:t>
            </w:r>
          </w:p>
        </w:tc>
        <w:tc>
          <w:tcPr>
            <w:tcW w:type="dxa" w:w="1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(в условных ед.)</w:t>
            </w:r>
          </w:p>
        </w:tc>
      </w:tr>
      <w:tr>
        <w:tc>
          <w:tcPr>
            <w:tcW w:type="dxa" w:w="4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финансированию, не обеспеченному залогом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50% ЧСК</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операциям с аффилированными и связанными с банком лицами</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60% ЧСК</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любых инвестиций в каждую небанковскую организацию</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60% собственного (регулятивного) капитала</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в банковские помещения (основные средства)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размера оплаченного уставного капитала</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в ценные бумаги правительств и центральных банков других государств</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размера ЧСК</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банка в негосударственные долговые ценные бумаги</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50% размера ЧСК</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Раздел 14 "Сведения о соблюдении экономических нормативов и поддержке дополнительного запаса капитала (индекс "буфер капитала")" дополнить подразделом 14.З. следующего содержания:</w:t>
      </w:r>
    </w:p>
    <w:p>
      <w:pPr>
        <w:spacing w:after="120"/>
        <w:jc w:val="both"/>
      </w:pPr>
      <w:r>
        <w:rPr>
          <w:rFonts w:ascii="Arial" w:cs="Arial" w:eastAsia="Arial" w:hAnsi="Arial"/>
          <w:sz w:val="24"/>
          <w:szCs w:val="24"/>
        </w:rPr>
        <w:t xml:space="preserve">"14.З. Информация об объеме финансирования, предоставленного членам ГСО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99"/>
        <w:gridCol w:w="2215"/>
        <w:gridCol w:w="1865"/>
      </w:tblGrid>
      <w:tr>
        <w:tc>
          <w:tcPr>
            <w:tcW w:type="dxa" w:w="60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Обозначение</w:t>
            </w:r>
          </w:p>
        </w:tc>
        <w:tc>
          <w:tcPr>
            <w:tcW w:type="dxa" w:w="22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(в %)</w:t>
            </w:r>
          </w:p>
        </w:tc>
        <w:tc>
          <w:tcPr>
            <w:tcW w:type="dxa" w:w="18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(в условных ед.)</w:t>
            </w:r>
          </w:p>
        </w:tc>
      </w:tr>
      <w:tr>
        <w:tc>
          <w:tcPr>
            <w:tcW w:type="dxa" w:w="60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финансирования, предоставленного членам группы солидарной ответственности</w:t>
            </w:r>
          </w:p>
        </w:tc>
        <w:tc>
          <w:tcPr>
            <w:tcW w:type="dxa" w:w="2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разделе 15.1. "Активы":</w:t>
      </w:r>
    </w:p>
    <w:p>
      <w:pPr>
        <w:spacing w:after="120"/>
        <w:jc w:val="both"/>
      </w:pPr>
      <w:r>
        <w:rPr>
          <w:rFonts w:ascii="Arial" w:cs="Arial" w:eastAsia="Arial" w:hAnsi="Arial"/>
          <w:sz w:val="24"/>
          <w:szCs w:val="24"/>
        </w:rPr>
        <w:t xml:space="preserve">строку 50.6 статьи 50. "Корреспондентские счета в коммерческих банках стран СНГ" признать утратившей силу;</w:t>
      </w:r>
    </w:p>
    <w:p>
      <w:pPr>
        <w:spacing w:after="120"/>
        <w:jc w:val="both"/>
      </w:pPr>
      <w:r>
        <w:rPr>
          <w:rFonts w:ascii="Arial" w:cs="Arial" w:eastAsia="Arial" w:hAnsi="Arial"/>
          <w:sz w:val="24"/>
          <w:szCs w:val="24"/>
        </w:rPr>
        <w:t xml:space="preserve">строку 60.6 статьи 60. "Корреспондентские счета в иностранных банках, кроме стран СНГ" признать утратившей силу;</w:t>
      </w:r>
    </w:p>
    <w:p>
      <w:pPr>
        <w:spacing w:after="120"/>
        <w:jc w:val="both"/>
      </w:pPr>
      <w:r>
        <w:rPr>
          <w:rFonts w:ascii="Arial" w:cs="Arial" w:eastAsia="Arial" w:hAnsi="Arial"/>
          <w:sz w:val="24"/>
          <w:szCs w:val="24"/>
        </w:rPr>
        <w:t xml:space="preserve">строку 90.6 статьи 90. "Денежные средства на счетах в банках и финансовых организациях стран СНГ" признать утратившей силу;</w:t>
      </w:r>
    </w:p>
    <w:p>
      <w:pPr>
        <w:spacing w:after="120"/>
        <w:jc w:val="both"/>
      </w:pPr>
      <w:r>
        <w:rPr>
          <w:rFonts w:ascii="Arial" w:cs="Arial" w:eastAsia="Arial" w:hAnsi="Arial"/>
          <w:sz w:val="24"/>
          <w:szCs w:val="24"/>
        </w:rPr>
        <w:t xml:space="preserve">строку 100.6 статьи 100. "Денежные средства на счетах в иностранных банках и финансовых организациях, кроме стран СНГ" признать утратившей силу;</w:t>
      </w:r>
    </w:p>
    <w:p>
      <w:pPr>
        <w:spacing w:after="120"/>
        <w:jc w:val="both"/>
      </w:pPr>
      <w:r>
        <w:rPr>
          <w:rFonts w:ascii="Arial" w:cs="Arial" w:eastAsia="Arial" w:hAnsi="Arial"/>
          <w:sz w:val="24"/>
          <w:szCs w:val="24"/>
        </w:rPr>
        <w:t xml:space="preserve">строку 110.6 статьи 110. "Краткосрочные межбанковские размещения до 7 дней" признать утратившей силу;</w:t>
      </w:r>
    </w:p>
    <w:p>
      <w:pPr>
        <w:spacing w:after="120"/>
        <w:jc w:val="both"/>
      </w:pPr>
      <w:r>
        <w:rPr>
          <w:rFonts w:ascii="Arial" w:cs="Arial" w:eastAsia="Arial" w:hAnsi="Arial"/>
          <w:sz w:val="24"/>
          <w:szCs w:val="24"/>
        </w:rPr>
        <w:t xml:space="preserve">строку 120.6 статьи 120. "Операции по РЕПО-соглашениям" признать утратившей силу;</w:t>
      </w:r>
    </w:p>
    <w:p>
      <w:pPr>
        <w:spacing w:after="120"/>
        <w:jc w:val="both"/>
      </w:pPr>
      <w:r>
        <w:rPr>
          <w:rFonts w:ascii="Arial" w:cs="Arial" w:eastAsia="Arial" w:hAnsi="Arial"/>
          <w:sz w:val="24"/>
          <w:szCs w:val="24"/>
        </w:rPr>
        <w:t xml:space="preserve">- в подразделе 15.2. Портфель ценных бумаг:</w:t>
      </w:r>
    </w:p>
    <w:p>
      <w:pPr>
        <w:spacing w:after="120"/>
        <w:jc w:val="both"/>
      </w:pPr>
      <w:r>
        <w:rPr>
          <w:rFonts w:ascii="Arial" w:cs="Arial" w:eastAsia="Arial" w:hAnsi="Arial"/>
          <w:sz w:val="24"/>
          <w:szCs w:val="24"/>
        </w:rPr>
        <w:t xml:space="preserve">строку 150.6 статьи 150. "Ценные бумаги, выпущенные правительствами стран СНГ" признать утратившей силу;</w:t>
      </w:r>
    </w:p>
    <w:p>
      <w:pPr>
        <w:spacing w:after="120"/>
        <w:jc w:val="both"/>
      </w:pPr>
      <w:r>
        <w:rPr>
          <w:rFonts w:ascii="Arial" w:cs="Arial" w:eastAsia="Arial" w:hAnsi="Arial"/>
          <w:sz w:val="24"/>
          <w:szCs w:val="24"/>
        </w:rPr>
        <w:t xml:space="preserve">строку 160.6 статьи 160. "Ценные бумаги, выпущенные иностранными правительствами стран, кроме правительств стран СНГ" признать утратившей силу;</w:t>
      </w:r>
    </w:p>
    <w:p>
      <w:pPr>
        <w:spacing w:after="120"/>
        <w:jc w:val="both"/>
      </w:pPr>
      <w:r>
        <w:rPr>
          <w:rFonts w:ascii="Arial" w:cs="Arial" w:eastAsia="Arial" w:hAnsi="Arial"/>
          <w:sz w:val="24"/>
          <w:szCs w:val="24"/>
        </w:rPr>
        <w:t xml:space="preserve">строку 170.6 статьи 170. "Долговые ценные бумаги кыргызских компаний" признать утратившей силу;</w:t>
      </w:r>
    </w:p>
    <w:p>
      <w:pPr>
        <w:spacing w:after="120"/>
        <w:jc w:val="both"/>
      </w:pPr>
      <w:r>
        <w:rPr>
          <w:rFonts w:ascii="Arial" w:cs="Arial" w:eastAsia="Arial" w:hAnsi="Arial"/>
          <w:sz w:val="24"/>
          <w:szCs w:val="24"/>
        </w:rPr>
        <w:t xml:space="preserve">строку 180.6 статьи 180. "Долговые ценные бумаги компаний стран СНГ" признать утратившей силу;</w:t>
      </w:r>
    </w:p>
    <w:p>
      <w:pPr>
        <w:spacing w:after="120"/>
        <w:jc w:val="both"/>
      </w:pPr>
      <w:r>
        <w:rPr>
          <w:rFonts w:ascii="Arial" w:cs="Arial" w:eastAsia="Arial" w:hAnsi="Arial"/>
          <w:sz w:val="24"/>
          <w:szCs w:val="24"/>
        </w:rPr>
        <w:t xml:space="preserve">строку 190.6 статьи 190. "Долговые ценные бумаги иностранных компаний, кроме стран СНГ" признать утратившей силу;</w:t>
      </w:r>
    </w:p>
    <w:p>
      <w:pPr>
        <w:spacing w:after="120"/>
        <w:jc w:val="both"/>
      </w:pPr>
      <w:r>
        <w:rPr>
          <w:rFonts w:ascii="Arial" w:cs="Arial" w:eastAsia="Arial" w:hAnsi="Arial"/>
          <w:sz w:val="24"/>
          <w:szCs w:val="24"/>
        </w:rPr>
        <w:t xml:space="preserve">строку 210.7 "Остальная часть капитальных ценных бумаг" признать утратившей силу;</w:t>
      </w:r>
    </w:p>
    <w:p>
      <w:pPr>
        <w:spacing w:after="120"/>
        <w:jc w:val="both"/>
      </w:pPr>
      <w:r>
        <w:rPr>
          <w:rFonts w:ascii="Arial" w:cs="Arial" w:eastAsia="Arial" w:hAnsi="Arial"/>
          <w:sz w:val="24"/>
          <w:szCs w:val="24"/>
        </w:rPr>
        <w:t xml:space="preserve">строку 220.7 "Остальная часть капитальных ценных бумаг" признать утратившей силу;</w:t>
      </w:r>
    </w:p>
    <w:p>
      <w:pPr>
        <w:spacing w:after="120"/>
        <w:jc w:val="both"/>
      </w:pPr>
      <w:r>
        <w:rPr>
          <w:rFonts w:ascii="Arial" w:cs="Arial" w:eastAsia="Arial" w:hAnsi="Arial"/>
          <w:sz w:val="24"/>
          <w:szCs w:val="24"/>
        </w:rPr>
        <w:t xml:space="preserve">строку 230.7 "Остальная часть капитальных ценных бумаг" признать утратившей силу;</w:t>
      </w:r>
    </w:p>
    <w:p>
      <w:pPr>
        <w:spacing w:after="120"/>
        <w:jc w:val="both"/>
      </w:pPr>
      <w:r>
        <w:rPr>
          <w:rFonts w:ascii="Arial" w:cs="Arial" w:eastAsia="Arial" w:hAnsi="Arial"/>
          <w:sz w:val="24"/>
          <w:szCs w:val="24"/>
        </w:rPr>
        <w:t xml:space="preserve">- в подразделе 15.3. Финансирование:</w:t>
      </w:r>
    </w:p>
    <w:p>
      <w:pPr>
        <w:spacing w:after="120"/>
        <w:jc w:val="both"/>
      </w:pPr>
      <w:r>
        <w:rPr>
          <w:rFonts w:ascii="Arial" w:cs="Arial" w:eastAsia="Arial" w:hAnsi="Arial"/>
          <w:sz w:val="24"/>
          <w:szCs w:val="24"/>
        </w:rPr>
        <w:t xml:space="preserve">статью 240 "Финансирование, предоставленное банкам Кыргызской Республики" дополнить строкой 240.6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0"/>
        <w:gridCol w:w="2990"/>
        <w:gridCol w:w="2601"/>
        <w:gridCol w:w="1547"/>
        <w:gridCol w:w="1549"/>
      </w:tblGrid>
      <w:tr>
        <w:tc>
          <w:tcPr>
            <w:tcW w:type="dxa" w:w="14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240.6</w:t>
            </w:r>
          </w:p>
        </w:tc>
        <w:tc>
          <w:tcPr>
            <w:tcW w:type="dxa" w:w="29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280 "Финансирование, предоставленное негосударственному сектору" дополнить строкой 280.6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0"/>
        <w:gridCol w:w="2990"/>
        <w:gridCol w:w="2601"/>
        <w:gridCol w:w="1547"/>
        <w:gridCol w:w="1549"/>
      </w:tblGrid>
      <w:tr>
        <w:tc>
          <w:tcPr>
            <w:tcW w:type="dxa" w:w="14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280.6</w:t>
            </w:r>
          </w:p>
        </w:tc>
        <w:tc>
          <w:tcPr>
            <w:tcW w:type="dxa" w:w="29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290 "Финансирование, предоставленное физическим лицам для личных целей" дополнить строкой 290.6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0"/>
        <w:gridCol w:w="2990"/>
        <w:gridCol w:w="2601"/>
        <w:gridCol w:w="1547"/>
        <w:gridCol w:w="1549"/>
      </w:tblGrid>
      <w:tr>
        <w:tc>
          <w:tcPr>
            <w:tcW w:type="dxa" w:w="14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290.6</w:t>
            </w:r>
          </w:p>
        </w:tc>
        <w:tc>
          <w:tcPr>
            <w:tcW w:type="dxa" w:w="29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310 "Финансирование, предоставленное негосударственному сектору на ипотеку" дополнить строкой 310.1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0"/>
        <w:gridCol w:w="2990"/>
        <w:gridCol w:w="2601"/>
        <w:gridCol w:w="1547"/>
        <w:gridCol w:w="1549"/>
      </w:tblGrid>
      <w:tr>
        <w:tc>
          <w:tcPr>
            <w:tcW w:type="dxa" w:w="14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310.1</w:t>
            </w:r>
          </w:p>
        </w:tc>
        <w:tc>
          <w:tcPr>
            <w:tcW w:type="dxa" w:w="29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320 "Финансирование, предоставленное физическим лицам на ипотеку" дополнить строкой 320.3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0"/>
        <w:gridCol w:w="2990"/>
        <w:gridCol w:w="2601"/>
        <w:gridCol w:w="1547"/>
        <w:gridCol w:w="1549"/>
      </w:tblGrid>
      <w:tr>
        <w:tc>
          <w:tcPr>
            <w:tcW w:type="dxa" w:w="14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320.3</w:t>
            </w:r>
          </w:p>
        </w:tc>
        <w:tc>
          <w:tcPr>
            <w:tcW w:type="dxa" w:w="29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подразделе 15.4. Финансирование (продолжение)/прочие активы:</w:t>
      </w:r>
    </w:p>
    <w:p>
      <w:pPr>
        <w:spacing w:after="120"/>
        <w:jc w:val="both"/>
      </w:pPr>
      <w:r>
        <w:rPr>
          <w:rFonts w:ascii="Arial" w:cs="Arial" w:eastAsia="Arial" w:hAnsi="Arial"/>
          <w:sz w:val="24"/>
          <w:szCs w:val="24"/>
        </w:rPr>
        <w:t xml:space="preserve">статью 340 "Финансирование, предоставленное на строительство негосударственному сектору" дополнить строкой 340.6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0"/>
        <w:gridCol w:w="2990"/>
        <w:gridCol w:w="2601"/>
        <w:gridCol w:w="1547"/>
        <w:gridCol w:w="1549"/>
      </w:tblGrid>
      <w:tr>
        <w:tc>
          <w:tcPr>
            <w:tcW w:type="dxa" w:w="14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340.6</w:t>
            </w:r>
          </w:p>
        </w:tc>
        <w:tc>
          <w:tcPr>
            <w:tcW w:type="dxa" w:w="29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350 "Финансирование, предоставленное на строительство физическим лицам" дополнить строкой 350.6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0"/>
        <w:gridCol w:w="2990"/>
        <w:gridCol w:w="2601"/>
        <w:gridCol w:w="1547"/>
        <w:gridCol w:w="1549"/>
      </w:tblGrid>
      <w:tr>
        <w:tc>
          <w:tcPr>
            <w:tcW w:type="dxa" w:w="14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350.6</w:t>
            </w:r>
          </w:p>
        </w:tc>
        <w:tc>
          <w:tcPr>
            <w:tcW w:type="dxa" w:w="29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360 "Финансирование, предоставленное по договору иджара мунтахийя биттамлик" дополнить строкой 360.6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0"/>
        <w:gridCol w:w="2990"/>
        <w:gridCol w:w="2601"/>
        <w:gridCol w:w="1547"/>
        <w:gridCol w:w="1549"/>
      </w:tblGrid>
      <w:tr>
        <w:tc>
          <w:tcPr>
            <w:tcW w:type="dxa" w:w="14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360.6</w:t>
            </w:r>
          </w:p>
        </w:tc>
        <w:tc>
          <w:tcPr>
            <w:tcW w:type="dxa" w:w="29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370 "Активы, размещенные по договорам мушарака, мудараба в частное коммерческое предприятие с целью осуществления предпринимательской деятельности, отличной от торговых операций с иностранной валютой, акциями и/или товарами" изложить в следующей редакции: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7"/>
        <w:gridCol w:w="5842"/>
        <w:gridCol w:w="1223"/>
        <w:gridCol w:w="1223"/>
        <w:gridCol w:w="942"/>
      </w:tblGrid>
      <w:tr>
        <w:tc>
          <w:tcPr>
            <w:tcW w:type="dxa" w:w="94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58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размещенные по договорам мушарака, мудараба</w:t>
            </w:r>
          </w:p>
        </w:tc>
        <w:tc>
          <w:tcPr>
            <w:tcW w:type="dxa" w:w="12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370.1</w:t>
            </w:r>
          </w:p>
        </w:tc>
        <w:tc>
          <w:tcPr>
            <w:tcW w:type="dxa" w:w="5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370.2</w:t>
            </w:r>
          </w:p>
        </w:tc>
        <w:tc>
          <w:tcPr>
            <w:tcW w:type="dxa" w:w="5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370.3</w:t>
            </w:r>
          </w:p>
        </w:tc>
        <w:tc>
          <w:tcPr>
            <w:tcW w:type="dxa" w:w="5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370.4</w:t>
            </w:r>
          </w:p>
        </w:tc>
        <w:tc>
          <w:tcPr>
            <w:tcW w:type="dxa" w:w="5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370.5</w:t>
            </w:r>
          </w:p>
        </w:tc>
        <w:tc>
          <w:tcPr>
            <w:tcW w:type="dxa" w:w="5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370.6</w:t>
            </w:r>
          </w:p>
        </w:tc>
        <w:tc>
          <w:tcPr>
            <w:tcW w:type="dxa" w:w="5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370.7</w:t>
            </w:r>
          </w:p>
        </w:tc>
        <w:tc>
          <w:tcPr>
            <w:tcW w:type="dxa" w:w="5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подразделе 15.7. Капитал и коэффициенты достаточности (адекватности) капитала:</w:t>
      </w:r>
    </w:p>
    <w:p>
      <w:pPr>
        <w:spacing w:after="120"/>
        <w:jc w:val="both"/>
      </w:pPr>
      <w:r>
        <w:rPr>
          <w:rFonts w:ascii="Arial" w:cs="Arial" w:eastAsia="Arial" w:hAnsi="Arial"/>
          <w:sz w:val="24"/>
          <w:szCs w:val="24"/>
        </w:rPr>
        <w:t xml:space="preserve">строки 960 и 970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0"/>
        <w:gridCol w:w="8291"/>
        <w:gridCol w:w="1077"/>
      </w:tblGrid>
      <w:tr>
        <w:tc>
          <w:tcPr>
            <w:tcW w:type="dxa" w:w="8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82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суммарного капитала
 (ст.920/(ст.640 минус ст.1010))</w:t>
            </w:r>
          </w:p>
        </w:tc>
        <w:tc>
          <w:tcPr>
            <w:tcW w:type="dxa" w:w="10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8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8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капитала Первого уровня
 (ст.800/(ст.640 минус ст.1010))</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подраздел дополнить строкой 1020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0"/>
        <w:gridCol w:w="8291"/>
        <w:gridCol w:w="1077"/>
      </w:tblGrid>
      <w:tr>
        <w:tc>
          <w:tcPr>
            <w:tcW w:type="dxa" w:w="8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2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регулятивный капитал</w:t>
            </w:r>
          </w:p>
        </w:tc>
        <w:tc>
          <w:tcPr>
            <w:tcW w:type="dxa" w:w="10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18 "Прочие сведения" дополнить подразделом 18.Е следующего содержания:</w:t>
      </w:r>
    </w:p>
    <w:p>
      <w:pPr>
        <w:spacing w:after="120"/>
        <w:jc w:val="right"/>
      </w:pPr>
      <w:r>
        <w:rPr>
          <w:rFonts w:ascii="Arial" w:cs="Arial" w:eastAsia="Arial" w:hAnsi="Arial"/>
          <w:sz w:val="24"/>
          <w:szCs w:val="24"/>
        </w:rPr>
        <w:t xml:space="preserve">"Периодический регулятивный банковский отчет
 по состоянию на "___" _____________ 20__ года</w:t>
      </w:r>
    </w:p>
    <w:p>
      <w:pPr>
        <w:spacing w:after="120"/>
        <w:jc w:val="both"/>
      </w:pPr>
      <w:r>
        <w:rPr>
          <w:rFonts w:ascii="Arial" w:cs="Arial" w:eastAsia="Arial" w:hAnsi="Arial"/>
          <w:sz w:val="24"/>
          <w:szCs w:val="24"/>
        </w:rPr>
        <w:t xml:space="preserve">18.Е. Информация о риск-событиях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1"/>
        <w:gridCol w:w="835"/>
        <w:gridCol w:w="656"/>
        <w:gridCol w:w="650"/>
        <w:gridCol w:w="1114"/>
        <w:gridCol w:w="772"/>
        <w:gridCol w:w="568"/>
        <w:gridCol w:w="835"/>
        <w:gridCol w:w="766"/>
        <w:gridCol w:w="760"/>
        <w:gridCol w:w="569"/>
        <w:gridCol w:w="569"/>
        <w:gridCol w:w="569"/>
        <w:gridCol w:w="569"/>
        <w:gridCol w:w="697"/>
      </w:tblGrid>
      <w:tr>
        <w:tc>
          <w:tcPr>
            <w:tcW w:type="dxa" w:w="25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8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регистрации/
 совершения/
 возникновения риск-события</w:t>
            </w:r>
          </w:p>
        </w:tc>
        <w:tc>
          <w:tcPr>
            <w:tcW w:type="dxa" w:w="6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выявления риск-события</w:t>
            </w:r>
          </w:p>
        </w:tc>
        <w:tc>
          <w:tcPr>
            <w:tcW w:type="dxa" w:w="6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устранения риск-события</w:t>
            </w:r>
          </w:p>
        </w:tc>
        <w:tc>
          <w:tcPr>
            <w:tcW w:type="dxa" w:w="11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ГО/филиал/название СП/№ АТМ/название точки обслуживания/ТСП</w:t>
            </w:r>
          </w:p>
        </w:tc>
        <w:tc>
          <w:tcPr>
            <w:tcW w:type="dxa" w:w="7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Бизнес-процесс, на котором произошел инцидент/вид деятельности</w:t>
            </w:r>
          </w:p>
        </w:tc>
        <w:tc>
          <w:tcPr>
            <w:tcW w:type="dxa" w:w="56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риск-события</w:t>
            </w:r>
          </w:p>
        </w:tc>
        <w:tc>
          <w:tcPr>
            <w:tcW w:type="dxa" w:w="8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Причины возникновения риска</w:t>
            </w:r>
          </w:p>
        </w:tc>
        <w:tc>
          <w:tcPr>
            <w:tcW w:type="dxa" w:w="76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Принятые решения/
 Предложения по минимизации риска</w:t>
            </w:r>
          </w:p>
        </w:tc>
        <w:tc>
          <w:tcPr>
            <w:tcW w:type="dxa" w:w="76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Контрольные меры/
 мероприятия</w:t>
            </w:r>
          </w:p>
        </w:tc>
        <w:tc>
          <w:tcPr>
            <w:tcW w:type="dxa" w:w="227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рисков (влияние/потери)</w:t>
            </w:r>
          </w:p>
        </w:tc>
        <w:tc>
          <w:tcPr>
            <w:tcW w:type="dxa" w:w="6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деятельность банка</w:t>
            </w:r>
          </w:p>
        </w:tc>
        <w:tc>
          <w:tcPr>
            <w:tcW w:type="dxa" w:w="56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репутацию</w:t>
            </w:r>
          </w:p>
        </w:tc>
        <w:tc>
          <w:tcPr>
            <w:tcW w:type="dxa" w:w="11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финансы</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Шкала уровня риска</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tc>
        <w:tc>
          <w:tcPr>
            <w:vMerge w:val="continue"/>
            <w:tcBorders>
              <w:top w:val="single" w:color="CBBF9E" w:sz="4"/>
              <w:left w:val="none" w:color="auto" w:sz="0"/>
              <w:bottom w:val="single" w:color="CBBF9E" w:sz="4"/>
              <w:right w:val="single" w:color="CBBF9E" w:sz="4"/>
            </w:tcBorders>
          </w:tcPr>
          <w:p/>
        </w:tc>
      </w:tr>
      <w:tr>
        <w:tc>
          <w:tcPr>
            <w:tcW w:type="dxa" w:w="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0180"/>
            <w:gridSpan w:val="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Внутреннее мошенничество, то есть злоупотребления или неправомерные действия сотрудников банка</w:t>
            </w:r>
          </w:p>
        </w:tc>
      </w:tr>
      <w:tr>
        <w:tc>
          <w:tcPr>
            <w:tcW w:type="dxa" w:w="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Внешнее мошенничество, то есть неправомерные действия посторонних по отношению к банку лиц</w:t>
            </w:r>
          </w:p>
        </w:tc>
      </w:tr>
      <w:tr>
        <w:tc>
          <w:tcPr>
            <w:tcW w:type="dxa" w:w="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Практика приема на работу, нарушения банковского, трудового и иного законодательства, условий безопасности труда и охраны здоровья сотрудников</w:t>
            </w:r>
          </w:p>
        </w:tc>
      </w:tr>
      <w:tr>
        <w:tc>
          <w:tcPr>
            <w:tcW w:type="dxa" w:w="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Нарушение банком обязательств по договорам перед клиентами банка и третьими лицами, злоупотребление информацией о клиентах банка, некачественное осуществление операций или предоставление услуг, несоблюдение обычаев делового оборота, нарушение антимонопольного законодательства, несоблюдение требований по изучению клиентов</w:t>
            </w:r>
          </w:p>
        </w:tc>
      </w:tr>
      <w:tr>
        <w:tc>
          <w:tcPr>
            <w:tcW w:type="dxa" w:w="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Причинение ущерба материальным активам банка (например, вследствие пожара, стихийных бедствий, актов терроризма, вандализма и т.д.)</w:t>
            </w:r>
          </w:p>
        </w:tc>
      </w:tr>
      <w:tr>
        <w:tc>
          <w:tcPr>
            <w:tcW w:type="dxa" w:w="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Сбои в функционировании или выход из строя информационных и других систем, оборудования, коммуникаций банка</w:t>
            </w:r>
          </w:p>
        </w:tc>
      </w:tr>
      <w:tr>
        <w:tc>
          <w:tcPr>
            <w:tcW w:type="dxa" w:w="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Ненадлежащая организация внутренних процессов и информационных потоков</w:t>
            </w:r>
          </w:p>
        </w:tc>
      </w:tr>
      <w:tr>
        <w:tc>
          <w:tcPr>
            <w:tcW w:type="dxa" w:w="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oczc5tnsnin2ykaqtfkr">
      <w:r>
        <w:rPr>
          <w:rFonts w:ascii="Arial" w:cs="Arial" w:eastAsia="Arial" w:hAnsi="Arial"/>
          <w:color w:val="132D3F"/>
          <w:sz w:val="16"/>
          <w:szCs w:val="16"/>
          <w:u w:val="single"/>
        </w:rPr>
        <w:t xml:space="preserve">dalil.kg/document/800257</w:t>
      </w:r>
    </w:hyperlink>
  </w:p>
  <w:p>
    <w:pPr>
      <w:spacing w:after="0" w:before="40"/>
      <w:jc w:val="center"/>
    </w:pPr>
    <w:hyperlink w:history="1" r:id="rIdbfvi4fio3rrmitjdymi4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0yizoulr7ani2zfbphrn" Type="http://schemas.openxmlformats.org/officeDocument/2006/relationships/hyperlink" Target="https://dalil.kg/document/111486" TargetMode="External"/><Relationship Id="rIdy0jbitpgio36wuflfojej" Type="http://schemas.openxmlformats.org/officeDocument/2006/relationships/hyperlink" Target="https://dalil.kg/document/301267" TargetMode="External"/><Relationship Id="rId5geoe_mxx0legdiuof1x6" Type="http://schemas.openxmlformats.org/officeDocument/2006/relationships/hyperlink" Target="https://dalil.kg/document/301267" TargetMode="External"/><Relationship Id="rIdiaakmed7wy8ywvd_xotzh" Type="http://schemas.openxmlformats.org/officeDocument/2006/relationships/hyperlink" Target="https://dalil.kg/document/300273" TargetMode="External"/><Relationship Id="rIdn-9wurcvhcy0m6nvzvild" Type="http://schemas.openxmlformats.org/officeDocument/2006/relationships/hyperlink" Target="https://dalil.kg/document/302407" TargetMode="External"/><Relationship Id="rIdzudbx5mdnobbo22qxrhci" Type="http://schemas.openxmlformats.org/officeDocument/2006/relationships/hyperlink" Target="https://dalil.kg/document/302407" TargetMode="External"/><Relationship Id="rIdhyivqj2zitejr0g4kqbcc" Type="http://schemas.openxmlformats.org/officeDocument/2006/relationships/hyperlink" Target="https://dalil.kg/document/301267" TargetMode="External"/><Relationship Id="rIdchcyvi7cc6rzyeuwdzgrz" Type="http://schemas.openxmlformats.org/officeDocument/2006/relationships/hyperlink" Target="https://dalil.kg/document/301267" TargetMode="External"/><Relationship Id="rIdheprr5yi5nvbo3xwsru3e" Type="http://schemas.openxmlformats.org/officeDocument/2006/relationships/hyperlink" Target="https://dalil.kg/document/301267" TargetMode="External"/><Relationship Id="rIdxgqypklmwmeq4f0vmrqwb" Type="http://schemas.openxmlformats.org/officeDocument/2006/relationships/hyperlink" Target="https://dalil.kg/document/300273" TargetMode="External"/><Relationship Id="rIdrjcn5de1flhub3lcfztyn" Type="http://schemas.openxmlformats.org/officeDocument/2006/relationships/hyperlink" Target="https://dalil.kg/document/300273" TargetMode="External"/><Relationship Id="rIdja6ij0z726qaapzkcf5vr" Type="http://schemas.openxmlformats.org/officeDocument/2006/relationships/hyperlink" Target="https://dalil.kg/document/300273" TargetMode="External"/><Relationship Id="rIdvyjhzqjyp6f15wkdxdt3t" Type="http://schemas.openxmlformats.org/officeDocument/2006/relationships/hyperlink" Target="https://dalil.kg/document/300273" TargetMode="External"/><Relationship Id="rId60rd9cjhcil5jelkzf3tw" Type="http://schemas.openxmlformats.org/officeDocument/2006/relationships/hyperlink" Target="https://dalil.kg/document/300273" TargetMode="External"/><Relationship Id="rIdti63jryexrdildmig9arx" Type="http://schemas.openxmlformats.org/officeDocument/2006/relationships/hyperlink" Target="https://dalil.kg/document/300273" TargetMode="External"/><Relationship Id="rIdysiemviluogbkuj-00rzs" Type="http://schemas.openxmlformats.org/officeDocument/2006/relationships/hyperlink" Target="https://dalil.kg/document/300273" TargetMode="External"/><Relationship Id="rId357czzieok8xyowtvk55i" Type="http://schemas.openxmlformats.org/officeDocument/2006/relationships/hyperlink" Target="https://dalil.kg/document/300273" TargetMode="External"/><Relationship Id="rIdp197o14ggsyjvmqnx3v1k" Type="http://schemas.openxmlformats.org/officeDocument/2006/relationships/hyperlink" Target="https://dalil.kg/document/302407" TargetMode="External"/><Relationship Id="rIdljurybaulhxiwsugogzdb" Type="http://schemas.openxmlformats.org/officeDocument/2006/relationships/hyperlink" Target="https://dalil.kg/document/302407" TargetMode="External"/><Relationship Id="rIdt0hlr3lpsbixd2-gqbfow" Type="http://schemas.openxmlformats.org/officeDocument/2006/relationships/hyperlink" Target="https://dalil.kg/document/302407" TargetMode="External"/><Relationship Id="rId7pli3nmkpzx1n2tvmvapk" Type="http://schemas.openxmlformats.org/officeDocument/2006/relationships/hyperlink" Target="https://dalil.kg/document/302407" TargetMode="External"/><Relationship Id="rIdcfkufnuj5tmf5zqrs_thp" Type="http://schemas.openxmlformats.org/officeDocument/2006/relationships/hyperlink" Target="https://dalil.kg/document/302407" TargetMode="External"/><Relationship Id="rIdynghmkv86d9ryavbdnscz" Type="http://schemas.openxmlformats.org/officeDocument/2006/relationships/hyperlink" Target="https://dalil.kg/document/302407"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oczc5tnsnin2ykaqtfkr" Type="http://schemas.openxmlformats.org/officeDocument/2006/relationships/hyperlink" Target="https://dalil.kg/document/800257" TargetMode="External"/><Relationship Id="rIdbfvi4fio3rrmitjdymi4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2026-09-24T21:14:38.357Z</dcterms:created>
  <dcterms:modified xsi:type="dcterms:W3CDTF">2026-09-24T21:14:38.357Z</dcterms:modified>
</cp:coreProperties>
</file>

<file path=docProps/custom.xml><?xml version="1.0" encoding="utf-8"?>
<Properties xmlns="http://schemas.openxmlformats.org/officeDocument/2006/custom-properties" xmlns:vt="http://schemas.openxmlformats.org/officeDocument/2006/docPropsVTypes"/>
</file>