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апреля 2019 года № 2019-П-12/22-4-(НПА)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 по вопросам кредитования и мер воздействия</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zvy8za4388dkyio8chba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r>
        <w:rPr>
          <w:rFonts w:ascii="Arial" w:cs="Arial" w:eastAsia="Arial" w:hAnsi="Arial"/>
          <w:sz w:val="24"/>
          <w:szCs w:val="24"/>
        </w:rPr>
        <w:t xml:space="preserve">от 30 июня 2010 года № 52/4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r>
        <w:rPr>
          <w:rFonts w:ascii="Arial" w:cs="Arial" w:eastAsia="Arial" w:hAnsi="Arial"/>
          <w:sz w:val="24"/>
          <w:szCs w:val="24"/>
        </w:rPr>
        <w:t xml:space="preserve">от 21 июля 2004 года № 18/3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w:t>
      </w:r>
      <w:hyperlink w:history="1" r:id="rId31cogjuekig8ibp8wiqs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w:t>
      </w:r>
      <w:r>
        <w:rPr>
          <w:rFonts w:ascii="Arial" w:cs="Arial" w:eastAsia="Arial" w:hAnsi="Arial"/>
          <w:sz w:val="24"/>
          <w:szCs w:val="24"/>
        </w:rPr>
        <w:t xml:space="preserve">от 15 июня 2017 года № 2017-П-12/25-4-(НПА)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crd1fxlxzyzw9r1eelry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ликвидации банков" </w:t>
      </w:r>
      <w:r>
        <w:rPr>
          <w:rFonts w:ascii="Arial" w:cs="Arial" w:eastAsia="Arial" w:hAnsi="Arial"/>
          <w:sz w:val="24"/>
          <w:szCs w:val="24"/>
        </w:rPr>
        <w:t xml:space="preserve">от 8 июня 2017 года № 2017-П-12/23-5-(НПА)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лицензировании деятельности банков" </w:t>
      </w:r>
      <w:r>
        <w:rPr>
          <w:rFonts w:ascii="Arial" w:cs="Arial" w:eastAsia="Arial" w:hAnsi="Arial"/>
          <w:sz w:val="24"/>
          <w:szCs w:val="24"/>
        </w:rPr>
        <w:t xml:space="preserve">от 8 июня 2017 года № 2017-П-12/23-1-(НПА)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zmsx5piweespvgb2kmf9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w:t>
      </w:r>
      <w:r>
        <w:rPr>
          <w:rFonts w:ascii="Arial" w:cs="Arial" w:eastAsia="Arial" w:hAnsi="Arial"/>
          <w:sz w:val="24"/>
          <w:szCs w:val="24"/>
        </w:rPr>
        <w:t xml:space="preserve">от 29 августа 2012 года № 36/2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w:t>
      </w:r>
      <w:r>
        <w:rPr>
          <w:rFonts w:ascii="Arial" w:cs="Arial" w:eastAsia="Arial" w:hAnsi="Arial"/>
          <w:sz w:val="24"/>
          <w:szCs w:val="24"/>
        </w:rPr>
        <w:t xml:space="preserve">от 15 июня 2017 года № 2017-П-12/25-2-(НПА)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kafc8haknvqbrncql05z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w:t>
      </w:r>
      <w:r>
        <w:rPr>
          <w:rFonts w:ascii="Arial" w:cs="Arial" w:eastAsia="Arial" w:hAnsi="Arial"/>
          <w:sz w:val="24"/>
          <w:szCs w:val="24"/>
        </w:rPr>
        <w:t xml:space="preserve">от 21 июля 2004 года № 18/1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w:t>
      </w:r>
      <w:r>
        <w:rPr>
          <w:rFonts w:ascii="Arial" w:cs="Arial" w:eastAsia="Arial" w:hAnsi="Arial"/>
          <w:sz w:val="24"/>
          <w:szCs w:val="24"/>
        </w:rPr>
        <w:t xml:space="preserve">от 15 сентября 2004 года № 24/4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и ОАО "Финансовая компания кредитных союзов", всех структурных подразделений, областных управлений, представительства Национального банка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24 апреля 2019 года № 2019-П-12/22-4-(НПА)</w:t>
      </w:r>
    </w:p>
    <w:p>
      <w:pPr>
        <w:spacing w:after="120"/>
        <w:jc w:val="center"/>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некоторые нормативные правовые акты Национального банка Кыргызской Республики по вопросам кредитования и мер воздействия</w:t>
      </w:r>
    </w:p>
    <w:p>
      <w:pPr>
        <w:spacing w:after="120"/>
        <w:jc w:val="both"/>
      </w:pPr>
      <w:r>
        <w:rPr>
          <w:rFonts w:ascii="Arial" w:cs="Arial" w:eastAsia="Arial" w:hAnsi="Arial"/>
          <w:sz w:val="24"/>
          <w:szCs w:val="24"/>
        </w:rPr>
        <w:t xml:space="preserve">1. Внести в </w:t>
      </w:r>
      <w:hyperlink w:history="1" r:id="rIdg5xe1veocvo9xwh1sdrk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pPr>
        <w:spacing w:after="120"/>
        <w:jc w:val="both"/>
      </w:pPr>
      <w:r>
        <w:rPr>
          <w:rFonts w:ascii="Arial" w:cs="Arial" w:eastAsia="Arial" w:hAnsi="Arial"/>
          <w:sz w:val="24"/>
          <w:szCs w:val="24"/>
        </w:rPr>
        <w:t xml:space="preserve">в </w:t>
      </w:r>
      <w:hyperlink w:history="1" r:id="rIdnlylfhijtft7e04bjzsv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w:t>
      </w:r>
      <w:hyperlink w:history="1" r:id="rIdyfjj5fh4bkwhlkdt78acq">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Бланковые кредиты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исключительно кредитоспособному заемщику на основании его репутации и оценки уровня его доходов.";</w:t>
      </w:r>
    </w:p>
    <w:p>
      <w:pPr>
        <w:spacing w:after="120"/>
        <w:jc w:val="both"/>
      </w:pPr>
      <w:r>
        <w:rPr>
          <w:rFonts w:ascii="Arial" w:cs="Arial" w:eastAsia="Arial" w:hAnsi="Arial"/>
          <w:sz w:val="24"/>
          <w:szCs w:val="24"/>
        </w:rPr>
        <w:t xml:space="preserve">- пункт 9 дополнить абзацами следующего содержания:</w:t>
      </w:r>
    </w:p>
    <w:p>
      <w:pPr>
        <w:spacing w:after="120"/>
        <w:jc w:val="both"/>
      </w:pPr>
      <w:r>
        <w:rPr>
          <w:rFonts w:ascii="Arial" w:cs="Arial" w:eastAsia="Arial" w:hAnsi="Arial"/>
          <w:sz w:val="24"/>
          <w:szCs w:val="24"/>
        </w:rPr>
        <w:t xml:space="preserve">"При превышении процентной ставки по выдаваемым кредитам размера предельно допустимого процента, рассчитанного в соответствии с </w:t>
      </w:r>
      <w:hyperlink w:history="1" r:id="rIdqpirt60nzwl9dgs1aerj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банк должен обеспечить выполнение требований указанного </w:t>
      </w:r>
      <w:hyperlink w:history="1" r:id="rIduihnsjucqotnpl13fe9n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при неисполнении обязательств заемщиком перед кредитором изъятие залогового имущества заемщика производить исключительно в судебном порядке;</w:t>
      </w:r>
    </w:p>
    <w:p>
      <w:pPr>
        <w:spacing w:after="120"/>
        <w:jc w:val="both"/>
      </w:pPr>
      <w:r>
        <w:rPr>
          <w:rFonts w:ascii="Arial" w:cs="Arial" w:eastAsia="Arial" w:hAnsi="Arial"/>
          <w:sz w:val="24"/>
          <w:szCs w:val="24"/>
        </w:rPr>
        <w:t xml:space="preserve">- при определении денежных и/или материальных обязательств заемщика перед кредитором размер неустойки (штрафов, пени), начисленной за весь период действия кредита или займа, не должен превышать 20 процентов от суммы выданного кредита.";</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"Все вопросы, касающиеся выдачи кредитов, должны решаться только кредитным комитетом либо лицами, которым комитет в соответствии с внутренними документами, регулирующими кредитную политику, делегирует данное право, за исключением вопросов, относящихся к компетенции Совета директоров банка.";</w:t>
      </w:r>
    </w:p>
    <w:p>
      <w:pPr>
        <w:spacing w:after="120"/>
        <w:jc w:val="both"/>
      </w:pPr>
      <w:r>
        <w:rPr>
          <w:rFonts w:ascii="Arial" w:cs="Arial" w:eastAsia="Arial" w:hAnsi="Arial"/>
          <w:sz w:val="24"/>
          <w:szCs w:val="24"/>
        </w:rPr>
        <w:t xml:space="preserve">абзац девятый изложить в следующей редакции:</w:t>
      </w:r>
    </w:p>
    <w:p>
      <w:pPr>
        <w:spacing w:after="120"/>
        <w:jc w:val="both"/>
      </w:pPr>
      <w:r>
        <w:rPr>
          <w:rFonts w:ascii="Arial" w:cs="Arial" w:eastAsia="Arial" w:hAnsi="Arial"/>
          <w:sz w:val="24"/>
          <w:szCs w:val="24"/>
        </w:rPr>
        <w:t xml:space="preserve">"Кредитная политика банка также должна содержать методики по оценке платежеспособности заемщиков. Для этих целей банк может разработать систему внутреннего кредитного рейтинга. Система внутреннего рейтинга рисков должна соответствовать природе, размерам и сложности осуществляемых видов деятельности банка.</w:t>
      </w:r>
    </w:p>
    <w:p>
      <w:pPr>
        <w:spacing w:after="120"/>
        <w:jc w:val="both"/>
      </w:pPr>
      <w:r>
        <w:rPr>
          <w:rFonts w:ascii="Arial" w:cs="Arial" w:eastAsia="Arial" w:hAnsi="Arial"/>
          <w:sz w:val="24"/>
          <w:szCs w:val="24"/>
        </w:rPr>
        <w:t xml:space="preserve">Система внутреннего кредитного рейтинга должна содержать комплексную оценку финансового состояния заемщика, как основного показателя его будущей платежеспособности, и должна отражать раскрытие данных о заемщиках, указанных в разделах 4.1. и 4.2. настоящего </w:t>
      </w:r>
      <w:hyperlink w:history="1" r:id="rIdbo5zzzwvrxsb07dctn8vk">
        <w:r>
          <w:rPr>
            <w:rFonts w:ascii="Arial" w:cs="Arial" w:eastAsia="Arial" w:hAnsi="Arial"/>
            <w:color w:val="1D4ED8"/>
            <w:sz w:val="24"/>
            <w:szCs w:val="24"/>
            <w:u w:val="single"/>
          </w:rPr>
          <w:t xml:space="preserve">Положения.</w:t>
        </w:r>
      </w:hyperlink>
    </w:p>
    <w:p>
      <w:pPr>
        <w:spacing w:after="120"/>
        <w:jc w:val="both"/>
      </w:pPr>
      <w:r>
        <w:rPr>
          <w:rFonts w:ascii="Arial" w:cs="Arial" w:eastAsia="Arial" w:hAnsi="Arial"/>
          <w:sz w:val="24"/>
          <w:szCs w:val="24"/>
        </w:rPr>
        <w:t xml:space="preserve">Кредитный рейтинг - основной показатель качества кредита. Кредитный рейтинг должен присваиваться на первоначальной стадии одобрения выдачи кредита, а также может присваиваться при последующем мониторинге кредита, его продлении либо изменении условий кредитного договора или реструктуризации кредита. Разработанные кредитные рейтинги, определяющие платежеспособность заемщиков, устанавливаются в виде алфавитных, числовых или альфа-числовых символов, которые указывают на риски при выдаче кредитов банком. Банк присваивает кредитный рейтинг с учетом определенных характеристик, связанных с заемщиком и самим кредитом.</w:t>
      </w:r>
    </w:p>
    <w:p>
      <w:pPr>
        <w:spacing w:after="120"/>
        <w:jc w:val="both"/>
      </w:pPr>
      <w:r>
        <w:rPr>
          <w:rFonts w:ascii="Arial" w:cs="Arial" w:eastAsia="Arial" w:hAnsi="Arial"/>
          <w:sz w:val="24"/>
          <w:szCs w:val="24"/>
        </w:rPr>
        <w:t xml:space="preserve">Подходы к анализу платежеспособности заемщиков при определении кредитного рейтинга могут основываться на различных методах:</w:t>
      </w:r>
    </w:p>
    <w:p>
      <w:pPr>
        <w:spacing w:after="120"/>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кредитный рейтинг (метод коэффициентов, рейтинговые модели, скоринговые модели);</w:t>
      </w:r>
    </w:p>
    <w:p>
      <w:pPr>
        <w:spacing w:after="120"/>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кредита заемщика и вероятность его неплатежеспособности;</w:t>
      </w:r>
    </w:p>
    <w:p>
      <w:pPr>
        <w:spacing w:after="120"/>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120"/>
        <w:jc w:val="both"/>
      </w:pPr>
      <w:r>
        <w:rPr>
          <w:rFonts w:ascii="Arial" w:cs="Arial" w:eastAsia="Arial" w:hAnsi="Arial"/>
          <w:sz w:val="24"/>
          <w:szCs w:val="24"/>
        </w:rPr>
        <w:t xml:space="preserve">Банк в целях проведения эффективной оценки платежеспособности заемщика при выдаче кредита может разработать собственную модель, которая должна состоять из подходов, наиболее отвечающих требованиям к оценке заемщиков и кредитов, предоставляемых банком. За основу могут быть взяты:</w:t>
      </w:r>
    </w:p>
    <w:p>
      <w:pPr>
        <w:spacing w:after="120"/>
        <w:jc w:val="both"/>
      </w:pPr>
      <w:r>
        <w:rPr>
          <w:rFonts w:ascii="Arial" w:cs="Arial" w:eastAsia="Arial" w:hAnsi="Arial"/>
          <w:sz w:val="24"/>
          <w:szCs w:val="24"/>
        </w:rPr>
        <w:t xml:space="preserve">- метод коэффициентов, позволяющий комплексно оценивать финансовое состояние заемщиков и качество кредитов;</w:t>
      </w:r>
    </w:p>
    <w:p>
      <w:pPr>
        <w:spacing w:after="120"/>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120"/>
        <w:jc w:val="both"/>
      </w:pPr>
      <w:r>
        <w:rPr>
          <w:rFonts w:ascii="Arial" w:cs="Arial" w:eastAsia="Arial" w:hAnsi="Arial"/>
          <w:sz w:val="24"/>
          <w:szCs w:val="24"/>
        </w:rPr>
        <w:t xml:space="preserve">- скоринговую модель - оценку кредитоспособности в балльном эквиваленте путем отнесения заемщика к определенной группе;</w:t>
      </w:r>
    </w:p>
    <w:p>
      <w:pPr>
        <w:spacing w:after="120"/>
        <w:jc w:val="both"/>
      </w:pPr>
      <w:r>
        <w:rPr>
          <w:rFonts w:ascii="Arial" w:cs="Arial" w:eastAsia="Arial" w:hAnsi="Arial"/>
          <w:sz w:val="24"/>
          <w:szCs w:val="24"/>
        </w:rPr>
        <w:t xml:space="preserve">- модель, основанную на оценке будущих денежных потоков с обязательствами заемщика;</w:t>
      </w:r>
    </w:p>
    <w:p>
      <w:pPr>
        <w:spacing w:after="120"/>
        <w:jc w:val="both"/>
      </w:pPr>
      <w:r>
        <w:rPr>
          <w:rFonts w:ascii="Arial" w:cs="Arial" w:eastAsia="Arial" w:hAnsi="Arial"/>
          <w:sz w:val="24"/>
          <w:szCs w:val="24"/>
        </w:rPr>
        <w:t xml:space="preserve">- модель с использованием статистики прошлых лет и др.</w:t>
      </w:r>
    </w:p>
    <w:p>
      <w:pPr>
        <w:spacing w:after="120"/>
        <w:jc w:val="both"/>
      </w:pPr>
      <w:r>
        <w:rPr>
          <w:rFonts w:ascii="Arial" w:cs="Arial" w:eastAsia="Arial" w:hAnsi="Arial"/>
          <w:sz w:val="24"/>
          <w:szCs w:val="24"/>
        </w:rPr>
        <w:t xml:space="preserve">Система внутреннего кредитного рейтинга может использоваться для принятия решения о выдаче кредита; определения стоимости кредита;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кредитов, согласно шкале кредитного рейтинга, а также определения предыдущего положения и возможного будущего движения кредитов по шкале кредитного рейтинга; оценки общих рисков и тенденции в кредитном портфеле; внесения изменений в кредитную стратегию банка.</w:t>
      </w:r>
    </w:p>
    <w:p>
      <w:pPr>
        <w:spacing w:after="120"/>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кредитов по показателям кредитного рейтинга с течением времени, что может позволить банкам оценивать свой кредитный риск более точно.</w:t>
      </w:r>
    </w:p>
    <w:p>
      <w:pPr>
        <w:spacing w:after="120"/>
        <w:jc w:val="both"/>
      </w:pPr>
      <w:r>
        <w:rPr>
          <w:rFonts w:ascii="Arial" w:cs="Arial" w:eastAsia="Arial" w:hAnsi="Arial"/>
          <w:sz w:val="24"/>
          <w:szCs w:val="24"/>
        </w:rPr>
        <w:t xml:space="preserve">Система внутреннего кредитного рейтинга в банке должна содержать распределение полномочий по:</w:t>
      </w:r>
    </w:p>
    <w:p>
      <w:pPr>
        <w:spacing w:after="120"/>
        <w:jc w:val="both"/>
      </w:pPr>
      <w:r>
        <w:rPr>
          <w:rFonts w:ascii="Arial" w:cs="Arial" w:eastAsia="Arial" w:hAnsi="Arial"/>
          <w:sz w:val="24"/>
          <w:szCs w:val="24"/>
        </w:rPr>
        <w:t xml:space="preserve">- присвоению первоначального рейтинга заемщику (при поступлении заявки на кредит);</w:t>
      </w:r>
    </w:p>
    <w:p>
      <w:pPr>
        <w:spacing w:after="120"/>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120"/>
        <w:jc w:val="both"/>
      </w:pPr>
      <w:r>
        <w:rPr>
          <w:rFonts w:ascii="Arial" w:cs="Arial" w:eastAsia="Arial" w:hAnsi="Arial"/>
          <w:sz w:val="24"/>
          <w:szCs w:val="24"/>
        </w:rPr>
        <w:t xml:space="preserve">- окончательному одобрению выдачи кредита.</w:t>
      </w:r>
    </w:p>
    <w:p>
      <w:pPr>
        <w:spacing w:after="120"/>
        <w:jc w:val="both"/>
      </w:pPr>
      <w:r>
        <w:rPr>
          <w:rFonts w:ascii="Arial" w:cs="Arial" w:eastAsia="Arial" w:hAnsi="Arial"/>
          <w:sz w:val="24"/>
          <w:szCs w:val="24"/>
        </w:rPr>
        <w:t xml:space="preserve">Решение по выдаче кредитов, согласно кредитному рейтингу, принимается по кредитам физическим лицам и индивидуальным предпринимателям в сумме до 100000 сом.</w:t>
      </w:r>
    </w:p>
    <w:p>
      <w:pPr>
        <w:spacing w:after="120"/>
        <w:jc w:val="both"/>
      </w:pPr>
      <w:r>
        <w:rPr>
          <w:rFonts w:ascii="Arial" w:cs="Arial" w:eastAsia="Arial" w:hAnsi="Arial"/>
          <w:sz w:val="24"/>
          <w:szCs w:val="24"/>
        </w:rPr>
        <w:t xml:space="preserve">В дальнейшем по кредитам, выданным физическим лицам и индивидуальным предпринимателям в сумме до 100000 сом, необходимо периодически проводить платежный мониторинг, с периодичностью мониторинга, согласно настоящему Положению, а также анализ присвоенных кредитных рейтингов в целях мониторинга исполнения кредитных обязательств и выработки рекомендаций о внесении изменений в рейтинг, если необходимо.</w:t>
      </w:r>
    </w:p>
    <w:p>
      <w:pPr>
        <w:spacing w:after="120"/>
        <w:jc w:val="both"/>
      </w:pPr>
      <w:r>
        <w:rPr>
          <w:rFonts w:ascii="Arial" w:cs="Arial" w:eastAsia="Arial" w:hAnsi="Arial"/>
          <w:sz w:val="24"/>
          <w:szCs w:val="24"/>
        </w:rPr>
        <w:t xml:space="preserve">Кроме того, банк обязан постоянно вести базу данных и вести журнал учета кредитов, по которым при выдаче принимались нестандартные решения (индивидуальные процентные ставки, структура залога и другое).";</w:t>
      </w:r>
    </w:p>
    <w:p>
      <w:pPr>
        <w:spacing w:after="120"/>
        <w:jc w:val="both"/>
      </w:pPr>
      <w:r>
        <w:rPr>
          <w:rFonts w:ascii="Arial" w:cs="Arial" w:eastAsia="Arial" w:hAnsi="Arial"/>
          <w:sz w:val="24"/>
          <w:szCs w:val="24"/>
        </w:rPr>
        <w:t xml:space="preserve">- в пункте 25:</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120"/>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120"/>
        <w:jc w:val="both"/>
      </w:pPr>
      <w:r>
        <w:rPr>
          <w:rFonts w:ascii="Arial" w:cs="Arial" w:eastAsia="Arial" w:hAnsi="Arial"/>
          <w:sz w:val="24"/>
          <w:szCs w:val="24"/>
        </w:rPr>
        <w:t xml:space="preserve">Примечание: QR-код - матричный код (двумерный штрих код), содержащий информацию о патенте, созданный специально для распознавания мобильными устройствами.;";</w:t>
      </w:r>
    </w:p>
    <w:p>
      <w:pPr>
        <w:spacing w:after="120"/>
        <w:jc w:val="both"/>
      </w:pPr>
      <w:r>
        <w:rPr>
          <w:rFonts w:ascii="Arial" w:cs="Arial" w:eastAsia="Arial" w:hAnsi="Arial"/>
          <w:sz w:val="24"/>
          <w:szCs w:val="24"/>
        </w:rPr>
        <w:t xml:space="preserve">абзац девятый изложить в следующей редакции:</w:t>
      </w:r>
    </w:p>
    <w:p>
      <w:pPr>
        <w:spacing w:after="120"/>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и др. (если банк требует предоставления гарантии (поручительства), а также финансовую отчетность гаранта (если гарант - юридическое лицо);";</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В целом анализ заявки на получение кредита должен основываться на политике банка, одобренной Советом директоров, и концентрироваться на следующих ключевых факторах:</w:t>
      </w:r>
    </w:p>
    <w:p>
      <w:pPr>
        <w:spacing w:after="120"/>
        <w:jc w:val="both"/>
      </w:pPr>
      <w:r>
        <w:rPr>
          <w:rFonts w:ascii="Arial" w:cs="Arial" w:eastAsia="Arial" w:hAnsi="Arial"/>
          <w:sz w:val="24"/>
          <w:szCs w:val="24"/>
        </w:rPr>
        <w:t xml:space="preserve">1) право заимствовать средства. Банк должен убедиться в том, что заемщик имеет право на получение кредита и подписание кредитного договора;</w:t>
      </w:r>
    </w:p>
    <w:p>
      <w:pPr>
        <w:spacing w:after="120"/>
        <w:jc w:val="both"/>
      </w:pPr>
      <w:r>
        <w:rPr>
          <w:rFonts w:ascii="Arial" w:cs="Arial" w:eastAsia="Arial" w:hAnsi="Arial"/>
          <w:sz w:val="24"/>
          <w:szCs w:val="24"/>
        </w:rPr>
        <w:t xml:space="preserve">2) характер заемщика. Банк должен установить, что заемщик ответственно относится к заемным средствам, дает полные ответы на вопросы банка и будет прилагать все усилия для выплаты задолженности. При анализе следует также учитывать, пользовался ли заемщик кредитами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также важно рассматривать срок и опыт работы заемщика в данной отрасли, его успехи и достижения. Имеет смысл запросить информацию о предоставленных ему кредитах в других кредитных учреждениях. Кроме того, необходимо запросить информацию (кредитный отчет) о заемщике и по усмотрению Банка о связанных с заемщиком лицах (при наличии их согласия в соответствии с законодательством) в одном или нескольких кредитных бюро.</w:t>
      </w:r>
    </w:p>
    <w:p>
      <w:pPr>
        <w:spacing w:after="120"/>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из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120"/>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120"/>
        <w:jc w:val="both"/>
      </w:pPr>
      <w:r>
        <w:rPr>
          <w:rFonts w:ascii="Arial" w:cs="Arial" w:eastAsia="Arial" w:hAnsi="Arial"/>
          <w:sz w:val="24"/>
          <w:szCs w:val="24"/>
        </w:rPr>
        <w:t xml:space="preserve">3)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договора.</w:t>
      </w:r>
    </w:p>
    <w:p>
      <w:pPr>
        <w:spacing w:after="120"/>
        <w:jc w:val="both"/>
      </w:pPr>
      <w:r>
        <w:rPr>
          <w:rFonts w:ascii="Arial" w:cs="Arial" w:eastAsia="Arial" w:hAnsi="Arial"/>
          <w:sz w:val="24"/>
          <w:szCs w:val="24"/>
        </w:rPr>
        <w:t xml:space="preserve">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pPr>
        <w:spacing w:after="120"/>
        <w:jc w:val="both"/>
      </w:pPr>
      <w:r>
        <w:rPr>
          <w:rFonts w:ascii="Arial" w:cs="Arial" w:eastAsia="Arial" w:hAnsi="Arial"/>
          <w:sz w:val="24"/>
          <w:szCs w:val="24"/>
        </w:rPr>
        <w:t xml:space="preserve">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pPr>
        <w:spacing w:after="120"/>
        <w:jc w:val="both"/>
      </w:pPr>
      <w:r>
        <w:rPr>
          <w:rFonts w:ascii="Arial" w:cs="Arial" w:eastAsia="Arial" w:hAnsi="Arial"/>
          <w:sz w:val="24"/>
          <w:szCs w:val="24"/>
        </w:rPr>
        <w:t xml:space="preserve">4) обеспечение. При оценке обеспечения сотрудник банка должен выяснить, располагает ли заемщик достаточным качественным обеспечением, необходимым для уменьшения риска невозврата кредита.</w:t>
      </w:r>
    </w:p>
    <w:p>
      <w:pPr>
        <w:spacing w:after="120"/>
        <w:jc w:val="both"/>
      </w:pPr>
      <w:r>
        <w:rPr>
          <w:rFonts w:ascii="Arial" w:cs="Arial" w:eastAsia="Arial" w:hAnsi="Arial"/>
          <w:sz w:val="24"/>
          <w:szCs w:val="24"/>
        </w:rPr>
        <w:t xml:space="preserve">При выдаче кредитов могут использоваться различные формы, виды и способы обеспечения.</w:t>
      </w:r>
    </w:p>
    <w:p>
      <w:pPr>
        <w:spacing w:after="120"/>
        <w:jc w:val="both"/>
      </w:pPr>
      <w:r>
        <w:rPr>
          <w:rFonts w:ascii="Arial" w:cs="Arial" w:eastAsia="Arial" w:hAnsi="Arial"/>
          <w:sz w:val="24"/>
          <w:szCs w:val="24"/>
        </w:rPr>
        <w:t xml:space="preserve">Обеспечение обязательств заемщиков классифицируется по различным признакам:</w:t>
      </w:r>
    </w:p>
    <w:p>
      <w:pPr>
        <w:spacing w:after="120"/>
        <w:jc w:val="both"/>
      </w:pPr>
      <w:r>
        <w:rPr>
          <w:rFonts w:ascii="Arial" w:cs="Arial" w:eastAsia="Arial" w:hAnsi="Arial"/>
          <w:sz w:val="24"/>
          <w:szCs w:val="24"/>
        </w:rPr>
        <w:t xml:space="preserve">- имущественная форма обеспечения кредитов, под которой понимается вторичный источник погашения кредита за счет получения денежных средств от реализации имущества, предоставленного заемщиком при получении кредита.</w:t>
      </w:r>
    </w:p>
    <w:p>
      <w:pPr>
        <w:spacing w:after="120"/>
        <w:jc w:val="both"/>
      </w:pPr>
      <w:r>
        <w:rPr>
          <w:rFonts w:ascii="Arial" w:cs="Arial" w:eastAsia="Arial" w:hAnsi="Arial"/>
          <w:sz w:val="24"/>
          <w:szCs w:val="24"/>
        </w:rPr>
        <w:t xml:space="preserve">К имущественной форме могут относиться следующие виды обеспечения кредитов:</w:t>
      </w:r>
    </w:p>
    <w:p>
      <w:pPr>
        <w:spacing w:after="120"/>
        <w:jc w:val="both"/>
      </w:pPr>
      <w:r>
        <w:rPr>
          <w:rFonts w:ascii="Arial" w:cs="Arial" w:eastAsia="Arial" w:hAnsi="Arial"/>
          <w:sz w:val="24"/>
          <w:szCs w:val="24"/>
        </w:rPr>
        <w:t xml:space="preserve">- залог недвижимого имущества;</w:t>
      </w:r>
    </w:p>
    <w:p>
      <w:pPr>
        <w:spacing w:after="120"/>
        <w:jc w:val="both"/>
      </w:pPr>
      <w:r>
        <w:rPr>
          <w:rFonts w:ascii="Arial" w:cs="Arial" w:eastAsia="Arial" w:hAnsi="Arial"/>
          <w:sz w:val="24"/>
          <w:szCs w:val="24"/>
        </w:rPr>
        <w:t xml:space="preserve">- залог движимого имущества (это имущество, как правило, остается в пользовании заемщика - автотранспорт, товары в обороте, бытовая техника и т.п.);</w:t>
      </w:r>
    </w:p>
    <w:p>
      <w:pPr>
        <w:spacing w:after="120"/>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120"/>
        <w:jc w:val="both"/>
      </w:pPr>
      <w:r>
        <w:rPr>
          <w:rFonts w:ascii="Arial" w:cs="Arial" w:eastAsia="Arial" w:hAnsi="Arial"/>
          <w:sz w:val="24"/>
          <w:szCs w:val="24"/>
        </w:rPr>
        <w:t xml:space="preserve">- неимущественная форма обеспечения кредитов. Неимущественная форма обеспечения кредитов - это источник погашения долга за счет юридического оформления гарантии возврата средств.</w:t>
      </w:r>
    </w:p>
    <w:p>
      <w:pPr>
        <w:spacing w:after="120"/>
        <w:jc w:val="both"/>
      </w:pPr>
      <w:r>
        <w:rPr>
          <w:rFonts w:ascii="Arial" w:cs="Arial" w:eastAsia="Arial" w:hAnsi="Arial"/>
          <w:sz w:val="24"/>
          <w:szCs w:val="24"/>
        </w:rPr>
        <w:t xml:space="preserve">К неимущественной форме обеспечения по кредиту могут быть отнесены такие виды обеспечения кредитов как:</w:t>
      </w:r>
    </w:p>
    <w:p>
      <w:pPr>
        <w:spacing w:after="120"/>
        <w:jc w:val="both"/>
      </w:pPr>
      <w:r>
        <w:rPr>
          <w:rFonts w:ascii="Arial" w:cs="Arial" w:eastAsia="Arial" w:hAnsi="Arial"/>
          <w:sz w:val="24"/>
          <w:szCs w:val="24"/>
        </w:rPr>
        <w:t xml:space="preserve">- гарантия;</w:t>
      </w:r>
    </w:p>
    <w:p>
      <w:pPr>
        <w:spacing w:after="120"/>
        <w:jc w:val="both"/>
      </w:pPr>
      <w:r>
        <w:rPr>
          <w:rFonts w:ascii="Arial" w:cs="Arial" w:eastAsia="Arial" w:hAnsi="Arial"/>
          <w:sz w:val="24"/>
          <w:szCs w:val="24"/>
        </w:rPr>
        <w:t xml:space="preserve">- поручительство.</w:t>
      </w:r>
    </w:p>
    <w:p>
      <w:pPr>
        <w:spacing w:after="120"/>
        <w:jc w:val="both"/>
      </w:pPr>
      <w:r>
        <w:rPr>
          <w:rFonts w:ascii="Arial" w:cs="Arial" w:eastAsia="Arial" w:hAnsi="Arial"/>
          <w:sz w:val="24"/>
          <w:szCs w:val="24"/>
        </w:rPr>
        <w:t xml:space="preserve">По степени покрытия обязательства, обеспечения по кредиту делятся на:</w:t>
      </w:r>
    </w:p>
    <w:p>
      <w:pPr>
        <w:spacing w:after="120"/>
        <w:jc w:val="both"/>
      </w:pPr>
      <w:r>
        <w:rPr>
          <w:rFonts w:ascii="Arial" w:cs="Arial" w:eastAsia="Arial" w:hAnsi="Arial"/>
          <w:sz w:val="24"/>
          <w:szCs w:val="24"/>
        </w:rPr>
        <w:t xml:space="preserve">- основное обеспечение;</w:t>
      </w:r>
    </w:p>
    <w:p>
      <w:pPr>
        <w:spacing w:after="120"/>
        <w:jc w:val="both"/>
      </w:pPr>
      <w:r>
        <w:rPr>
          <w:rFonts w:ascii="Arial" w:cs="Arial" w:eastAsia="Arial" w:hAnsi="Arial"/>
          <w:sz w:val="24"/>
          <w:szCs w:val="24"/>
        </w:rPr>
        <w:t xml:space="preserve">- дополнительное обеспечение.</w:t>
      </w:r>
    </w:p>
    <w:p>
      <w:pPr>
        <w:spacing w:after="120"/>
        <w:jc w:val="both"/>
      </w:pPr>
      <w:r>
        <w:rPr>
          <w:rFonts w:ascii="Arial" w:cs="Arial" w:eastAsia="Arial" w:hAnsi="Arial"/>
          <w:sz w:val="24"/>
          <w:szCs w:val="24"/>
        </w:rPr>
        <w:t xml:space="preserve">В зависимости от полноты покрываемого обязательства обеспечение по кредиту делится на:</w:t>
      </w:r>
    </w:p>
    <w:p>
      <w:pPr>
        <w:spacing w:after="120"/>
        <w:jc w:val="both"/>
      </w:pPr>
      <w:r>
        <w:rPr>
          <w:rFonts w:ascii="Arial" w:cs="Arial" w:eastAsia="Arial" w:hAnsi="Arial"/>
          <w:sz w:val="24"/>
          <w:szCs w:val="24"/>
        </w:rPr>
        <w:t xml:space="preserve">- полностью покрывающее кредитное обязательство;</w:t>
      </w:r>
    </w:p>
    <w:p>
      <w:pPr>
        <w:spacing w:after="120"/>
        <w:jc w:val="both"/>
      </w:pPr>
      <w:r>
        <w:rPr>
          <w:rFonts w:ascii="Arial" w:cs="Arial" w:eastAsia="Arial" w:hAnsi="Arial"/>
          <w:sz w:val="24"/>
          <w:szCs w:val="24"/>
        </w:rPr>
        <w:t xml:space="preserve">- частично покрывающее кредитное обязательство.</w:t>
      </w:r>
    </w:p>
    <w:p>
      <w:pPr>
        <w:spacing w:after="120"/>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120"/>
        <w:jc w:val="both"/>
      </w:pPr>
      <w:r>
        <w:rPr>
          <w:rFonts w:ascii="Arial" w:cs="Arial" w:eastAsia="Arial" w:hAnsi="Arial"/>
          <w:sz w:val="24"/>
          <w:szCs w:val="24"/>
        </w:rPr>
        <w:t xml:space="preserve">Основные мероприятия банка для принятия имущественного обеспечения по кредиту:</w:t>
      </w:r>
    </w:p>
    <w:p>
      <w:pPr>
        <w:spacing w:after="120"/>
        <w:jc w:val="both"/>
      </w:pPr>
      <w:r>
        <w:rPr>
          <w:rFonts w:ascii="Arial" w:cs="Arial" w:eastAsia="Arial" w:hAnsi="Arial"/>
          <w:sz w:val="24"/>
          <w:szCs w:val="24"/>
        </w:rPr>
        <w:t xml:space="preserve">- банк должен убедиться в наличии обеспечения, предоставляемого заемщиком.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120"/>
        <w:jc w:val="both"/>
      </w:pPr>
      <w:r>
        <w:rPr>
          <w:rFonts w:ascii="Arial" w:cs="Arial" w:eastAsia="Arial" w:hAnsi="Arial"/>
          <w:sz w:val="24"/>
          <w:szCs w:val="24"/>
        </w:rPr>
        <w:t xml:space="preserve">- банк должен определить уровень ликвидности обеспечения, то есть возможность быстрой продажи (реализации);</w:t>
      </w:r>
    </w:p>
    <w:p>
      <w:pPr>
        <w:spacing w:after="120"/>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кредиту над суммой основного долга и процентов по кредиту с учетом размера возможных затрат на реализацию предмета обеспечения является инструментом по управлению риском невозврата кредитов;</w:t>
      </w:r>
    </w:p>
    <w:p>
      <w:pPr>
        <w:spacing w:after="120"/>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заемщиком имущество. При этом банку следует учесть риски снижения стоимости этого обеспечения;</w:t>
      </w:r>
    </w:p>
    <w:p>
      <w:pPr>
        <w:spacing w:after="120"/>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кредитными средствами заемщиком. При этом следует учитывать возможность возникновения потребности в хранении обеспечения, что может вызвать дополнительные расходы.</w:t>
      </w:r>
    </w:p>
    <w:p>
      <w:pPr>
        <w:spacing w:after="120"/>
        <w:jc w:val="both"/>
      </w:pPr>
      <w:r>
        <w:rPr>
          <w:rFonts w:ascii="Arial" w:cs="Arial" w:eastAsia="Arial" w:hAnsi="Arial"/>
          <w:sz w:val="24"/>
          <w:szCs w:val="24"/>
        </w:rPr>
        <w:t xml:space="preserve">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заемщика, как минимум, за последний год, оценить риски, связанные с выполнением сторонами обязательств по данному кредиту и реализацией вторичного источника погашения, в случае невозврата кредита заемщиком;</w:t>
      </w:r>
    </w:p>
    <w:p>
      <w:pPr>
        <w:spacing w:after="120"/>
        <w:jc w:val="both"/>
      </w:pPr>
      <w:r>
        <w:rPr>
          <w:rFonts w:ascii="Arial" w:cs="Arial" w:eastAsia="Arial" w:hAnsi="Arial"/>
          <w:sz w:val="24"/>
          <w:szCs w:val="24"/>
        </w:rPr>
        <w:t xml:space="preserve">5) гарантия/поручительство.</w:t>
      </w:r>
    </w:p>
    <w:p>
      <w:pPr>
        <w:spacing w:after="120"/>
        <w:jc w:val="both"/>
      </w:pPr>
      <w:r>
        <w:rPr>
          <w:rFonts w:ascii="Arial" w:cs="Arial" w:eastAsia="Arial" w:hAnsi="Arial"/>
          <w:sz w:val="24"/>
          <w:szCs w:val="24"/>
        </w:rPr>
        <w:t xml:space="preserve">При обеспечении кредита гарантией/поручительством для определения целесообразности предоставления такого кредита банк проводит анализ платежеспособности гаранта/поручителя в таком же объеме, как и самого заемщика. Банк должен потребовать от гаранта/поручителя документы, запрашиваемые для анализа платежеспособности самого заемщика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кредитов в части, обеспеченных гарантией/поручительством в качестве бланковых.</w:t>
      </w:r>
    </w:p>
    <w:p>
      <w:pPr>
        <w:spacing w:after="120"/>
        <w:jc w:val="both"/>
      </w:pPr>
      <w:r>
        <w:rPr>
          <w:rFonts w:ascii="Arial" w:cs="Arial" w:eastAsia="Arial" w:hAnsi="Arial"/>
          <w:sz w:val="24"/>
          <w:szCs w:val="24"/>
        </w:rPr>
        <w:t xml:space="preserve">При рассмотрении заявки на получение кредита участников группой солидарной ответственности (далее -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120"/>
        <w:jc w:val="both"/>
      </w:pPr>
      <w:r>
        <w:rPr>
          <w:rFonts w:ascii="Arial" w:cs="Arial" w:eastAsia="Arial" w:hAnsi="Arial"/>
          <w:sz w:val="24"/>
          <w:szCs w:val="24"/>
        </w:rPr>
        <w:t xml:space="preserve">6) поручительство членов группы солидарной ответственности. Под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120"/>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pPr>
        <w:spacing w:after="120"/>
        <w:jc w:val="both"/>
      </w:pPr>
      <w:r>
        <w:rPr>
          <w:rFonts w:ascii="Arial" w:cs="Arial" w:eastAsia="Arial" w:hAnsi="Arial"/>
          <w:sz w:val="24"/>
          <w:szCs w:val="24"/>
        </w:rPr>
        <w:t xml:space="preserve">В целях настоящего </w:t>
      </w:r>
      <w:hyperlink w:history="1" r:id="rIdtozdg9rzq5xohr98rqah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После проведения анализа заявки на получение кредита банк должен составить заключение, в котором указывает целесообразность предоставления заемщику кредита, представляемое на рассмотрение Кредитного комитета/уполномоченного должностного лица вместе с заявкой клиента на получение кредита и другими необходимыми документами, предоставленными клиентом по запросу банка, согласно требованиям настоящего Положения и внутренним документам банка.</w:t>
      </w:r>
    </w:p>
    <w:p>
      <w:pPr>
        <w:spacing w:after="120"/>
        <w:jc w:val="both"/>
      </w:pPr>
      <w:r>
        <w:rPr>
          <w:rFonts w:ascii="Arial" w:cs="Arial" w:eastAsia="Arial" w:hAnsi="Arial"/>
          <w:sz w:val="24"/>
          <w:szCs w:val="24"/>
        </w:rPr>
        <w:t xml:space="preserve">В случае отказа в выдаче кредита в заключении должны быть указаны причины, а также банк должен уведомить заемщика о принятом решении в соответствии с установленным банком порядком.</w:t>
      </w:r>
    </w:p>
    <w:p>
      <w:pPr>
        <w:spacing w:after="120"/>
        <w:jc w:val="both"/>
      </w:pPr>
      <w:r>
        <w:rPr>
          <w:rFonts w:ascii="Arial" w:cs="Arial" w:eastAsia="Arial" w:hAnsi="Arial"/>
          <w:sz w:val="24"/>
          <w:szCs w:val="24"/>
        </w:rPr>
        <w:t xml:space="preserve">Результат, выданный внутренним кредитным рейтингом банка, содержащий значение рейтинга о целесообразности/нецелесообразности предоставления заемщику кредита может рассматриваться как соответствующее заключение.";</w:t>
      </w:r>
    </w:p>
    <w:p>
      <w:pPr>
        <w:spacing w:after="120"/>
        <w:jc w:val="both"/>
      </w:pPr>
      <w:r>
        <w:rPr>
          <w:rFonts w:ascii="Arial" w:cs="Arial" w:eastAsia="Arial" w:hAnsi="Arial"/>
          <w:sz w:val="24"/>
          <w:szCs w:val="24"/>
        </w:rPr>
        <w:t xml:space="preserve">- абзац седьмой пункта 41 изложить в следующей редакции:</w:t>
      </w:r>
    </w:p>
    <w:p>
      <w:pPr>
        <w:spacing w:after="120"/>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уведомления в банк не менее чем за 30 (тридцать) дней до дня досрочного погашения. Досрочное погашение одного участника ГСО возможно при наличии письменного согласия участников ГСО;";</w:t>
      </w:r>
    </w:p>
    <w:p>
      <w:pPr>
        <w:spacing w:after="120"/>
        <w:jc w:val="both"/>
      </w:pPr>
      <w:r>
        <w:rPr>
          <w:rFonts w:ascii="Arial" w:cs="Arial" w:eastAsia="Arial" w:hAnsi="Arial"/>
          <w:sz w:val="24"/>
          <w:szCs w:val="24"/>
        </w:rPr>
        <w:t xml:space="preserve">- пункт 55 дополнить абзацем седьмым следующего содержания:</w:t>
      </w:r>
    </w:p>
    <w:p>
      <w:pPr>
        <w:spacing w:after="120"/>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 в пункте 61:</w:t>
      </w:r>
    </w:p>
    <w:p>
      <w:pPr>
        <w:spacing w:after="120"/>
        <w:jc w:val="both"/>
      </w:pPr>
      <w:r>
        <w:rPr>
          <w:rFonts w:ascii="Arial" w:cs="Arial" w:eastAsia="Arial" w:hAnsi="Arial"/>
          <w:sz w:val="24"/>
          <w:szCs w:val="24"/>
        </w:rPr>
        <w:t xml:space="preserve">второе предложение изложить в следующей редакции:</w:t>
      </w:r>
    </w:p>
    <w:p>
      <w:pPr>
        <w:spacing w:after="120"/>
        <w:jc w:val="both"/>
      </w:pPr>
      <w:r>
        <w:rPr>
          <w:rFonts w:ascii="Arial" w:cs="Arial" w:eastAsia="Arial" w:hAnsi="Arial"/>
          <w:sz w:val="24"/>
          <w:szCs w:val="24"/>
        </w:rPr>
        <w:t xml:space="preserve">"Максимальный размер риска по бланковым кредитам не должен превышать 50% размера чистого суммарного капитала банка (6)."</w:t>
      </w:r>
    </w:p>
    <w:p>
      <w:pPr>
        <w:spacing w:after="120"/>
        <w:jc w:val="both"/>
      </w:pPr>
      <w:r>
        <w:rPr>
          <w:rFonts w:ascii="Arial" w:cs="Arial" w:eastAsia="Arial" w:hAnsi="Arial"/>
          <w:sz w:val="24"/>
          <w:szCs w:val="24"/>
        </w:rPr>
        <w:t xml:space="preserve">пункт дополнить абзацем вторым следующего содержания:</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w:t>
      </w:r>
      <w:hyperlink w:history="1" r:id="rIdx9z_q9cgv3d8wvmb_7pts">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w:t>
      </w:r>
    </w:p>
    <w:p>
      <w:pPr>
        <w:spacing w:after="120"/>
        <w:jc w:val="both"/>
      </w:pPr>
      <w:r>
        <w:rPr>
          <w:rFonts w:ascii="Arial" w:cs="Arial" w:eastAsia="Arial" w:hAnsi="Arial"/>
          <w:sz w:val="24"/>
          <w:szCs w:val="24"/>
        </w:rPr>
        <w:t xml:space="preserve">- в пункте 61-2:</w:t>
      </w:r>
    </w:p>
    <w:p>
      <w:pPr>
        <w:spacing w:after="120"/>
        <w:jc w:val="both"/>
      </w:pPr>
      <w:r>
        <w:rPr>
          <w:rFonts w:ascii="Arial" w:cs="Arial" w:eastAsia="Arial" w:hAnsi="Arial"/>
          <w:sz w:val="24"/>
          <w:szCs w:val="24"/>
        </w:rPr>
        <w:t xml:space="preserve">первый абзац изложить в следующей редакции:</w:t>
      </w:r>
    </w:p>
    <w:p>
      <w:pPr>
        <w:spacing w:after="120"/>
        <w:jc w:val="both"/>
      </w:pPr>
      <w:r>
        <w:rPr>
          <w:rFonts w:ascii="Arial" w:cs="Arial" w:eastAsia="Arial" w:hAnsi="Arial"/>
          <w:sz w:val="24"/>
          <w:szCs w:val="24"/>
        </w:rPr>
        <w:t xml:space="preserve">"61-2. Банк вправе осуществлять расчет норматива максимального размера риска по бланковым кредитам в части групповых кредитов в соответствии с пунктом 61-3 настоящего Положения при соблюдении всех следующих условий:";</w:t>
      </w:r>
    </w:p>
    <w:p>
      <w:pPr>
        <w:spacing w:after="120"/>
        <w:jc w:val="both"/>
      </w:pPr>
      <w:r>
        <w:rPr>
          <w:rFonts w:ascii="Arial" w:cs="Arial" w:eastAsia="Arial" w:hAnsi="Arial"/>
          <w:sz w:val="24"/>
          <w:szCs w:val="24"/>
        </w:rPr>
        <w:t xml:space="preserve">пункт дополнить абзацем следующего содержания:</w:t>
      </w:r>
    </w:p>
    <w:p>
      <w:pPr>
        <w:spacing w:after="120"/>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pPr>
        <w:spacing w:after="120"/>
        <w:jc w:val="both"/>
      </w:pPr>
      <w:r>
        <w:rPr>
          <w:rFonts w:ascii="Arial" w:cs="Arial" w:eastAsia="Arial" w:hAnsi="Arial"/>
          <w:sz w:val="24"/>
          <w:szCs w:val="24"/>
        </w:rPr>
        <w:t xml:space="preserve">- в пункте 61-3:</w:t>
      </w:r>
    </w:p>
    <w:p>
      <w:pPr>
        <w:spacing w:after="120"/>
        <w:jc w:val="both"/>
      </w:pPr>
      <w:r>
        <w:rPr>
          <w:rFonts w:ascii="Arial" w:cs="Arial" w:eastAsia="Arial" w:hAnsi="Arial"/>
          <w:sz w:val="24"/>
          <w:szCs w:val="24"/>
        </w:rPr>
        <w:t xml:space="preserve">первый абзац изложить в следующей редакции:</w:t>
      </w:r>
    </w:p>
    <w:p>
      <w:pPr>
        <w:spacing w:after="120"/>
        <w:jc w:val="both"/>
      </w:pPr>
      <w:r>
        <w:rPr>
          <w:rFonts w:ascii="Arial" w:cs="Arial" w:eastAsia="Arial" w:hAnsi="Arial"/>
          <w:sz w:val="24"/>
          <w:szCs w:val="24"/>
        </w:rPr>
        <w:t xml:space="preserve">"61-3. При расчете норматива максимального размера риска по бланковым кредитам исключаются групповые кредиты, предоставленные под солидарную ответственность членов ГСО, которые отвечают всем следующим критериям:";</w:t>
      </w:r>
    </w:p>
    <w:p>
      <w:pPr>
        <w:spacing w:after="120"/>
        <w:jc w:val="both"/>
      </w:pPr>
      <w:r>
        <w:rPr>
          <w:rFonts w:ascii="Arial" w:cs="Arial" w:eastAsia="Arial" w:hAnsi="Arial"/>
          <w:sz w:val="24"/>
          <w:szCs w:val="24"/>
        </w:rPr>
        <w:t xml:space="preserve">пункт дополнить абзацем следующего содержания:</w:t>
      </w:r>
    </w:p>
    <w:p>
      <w:pPr>
        <w:spacing w:after="120"/>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pPr>
        <w:spacing w:after="120"/>
        <w:jc w:val="both"/>
      </w:pPr>
      <w:r>
        <w:rPr>
          <w:rFonts w:ascii="Arial" w:cs="Arial" w:eastAsia="Arial" w:hAnsi="Arial"/>
          <w:sz w:val="24"/>
          <w:szCs w:val="24"/>
        </w:rPr>
        <w:t xml:space="preserve">- в пункте 61-4:</w:t>
      </w:r>
    </w:p>
    <w:p>
      <w:pPr>
        <w:spacing w:after="120"/>
        <w:jc w:val="both"/>
      </w:pPr>
      <w:r>
        <w:rPr>
          <w:rFonts w:ascii="Arial" w:cs="Arial" w:eastAsia="Arial" w:hAnsi="Arial"/>
          <w:sz w:val="24"/>
          <w:szCs w:val="24"/>
        </w:rPr>
        <w:t xml:space="preserve">первый абзац изложить в следующей редакции:</w:t>
      </w:r>
    </w:p>
    <w:p>
      <w:pPr>
        <w:spacing w:after="120"/>
        <w:jc w:val="both"/>
      </w:pPr>
      <w:r>
        <w:rPr>
          <w:rFonts w:ascii="Arial" w:cs="Arial" w:eastAsia="Arial" w:hAnsi="Arial"/>
          <w:sz w:val="24"/>
          <w:szCs w:val="24"/>
        </w:rPr>
        <w:t xml:space="preserve">"61-4. При расчете норматива максимального размера риска по бланковым кредитам исключаются кредиты в форме контрактного финансирования, которые отвечают всем следующим критериям:";</w:t>
      </w:r>
    </w:p>
    <w:p>
      <w:pPr>
        <w:spacing w:after="120"/>
        <w:jc w:val="both"/>
      </w:pPr>
      <w:r>
        <w:rPr>
          <w:rFonts w:ascii="Arial" w:cs="Arial" w:eastAsia="Arial" w:hAnsi="Arial"/>
          <w:sz w:val="24"/>
          <w:szCs w:val="24"/>
        </w:rPr>
        <w:t xml:space="preserve">пункт дополнить абзацем следующего содержания:</w:t>
      </w:r>
    </w:p>
    <w:p>
      <w:pPr>
        <w:spacing w:after="120"/>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pPr>
        <w:spacing w:after="120"/>
        <w:jc w:val="both"/>
      </w:pPr>
      <w:r>
        <w:rPr>
          <w:rFonts w:ascii="Arial" w:cs="Arial" w:eastAsia="Arial" w:hAnsi="Arial"/>
          <w:sz w:val="24"/>
          <w:szCs w:val="24"/>
        </w:rPr>
        <w:t xml:space="preserve">- в пункте 63-1: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не реже одного раза в год для остальных кредитов, за исключением кредитов до 100000 сомов. По кредитам до 100000 сомов проводится платежный мониторинг, предполагающий анализ на основе произведенных платежей по кредиту.";</w:t>
      </w:r>
    </w:p>
    <w:p>
      <w:pPr>
        <w:spacing w:after="120"/>
        <w:jc w:val="both"/>
      </w:pPr>
      <w:r>
        <w:rPr>
          <w:rFonts w:ascii="Arial" w:cs="Arial" w:eastAsia="Arial" w:hAnsi="Arial"/>
          <w:sz w:val="24"/>
          <w:szCs w:val="24"/>
        </w:rPr>
        <w:t xml:space="preserve">пункт дополнить абзацем четвертым следующего содержания:</w:t>
      </w:r>
    </w:p>
    <w:p>
      <w:pPr>
        <w:spacing w:after="120"/>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кредита,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заемщиком кредитного обязательства и взысканию задолженности с гаранта/поручителя.".</w:t>
      </w:r>
    </w:p>
    <w:p>
      <w:pPr>
        <w:spacing w:after="120"/>
        <w:jc w:val="both"/>
      </w:pPr>
      <w:r>
        <w:rPr>
          <w:rFonts w:ascii="Arial" w:cs="Arial" w:eastAsia="Arial" w:hAnsi="Arial"/>
          <w:sz w:val="24"/>
          <w:szCs w:val="24"/>
        </w:rPr>
        <w:t xml:space="preserve">- в </w:t>
      </w:r>
      <w:hyperlink w:history="1" r:id="rIdk41zagqiuhdvqdvg7clqu">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120"/>
        <w:jc w:val="both"/>
      </w:pPr>
      <w:r>
        <w:rPr>
          <w:rFonts w:ascii="Arial" w:cs="Arial" w:eastAsia="Arial" w:hAnsi="Arial"/>
          <w:sz w:val="24"/>
          <w:szCs w:val="24"/>
        </w:rPr>
        <w:t xml:space="preserve">пункт 1-1. изложить в следующей редакции:</w:t>
      </w:r>
    </w:p>
    <w:p>
      <w:pPr>
        <w:spacing w:after="120"/>
        <w:jc w:val="both"/>
      </w:pPr>
      <w:r>
        <w:rPr>
          <w:rFonts w:ascii="Arial" w:cs="Arial" w:eastAsia="Arial" w:hAnsi="Arial"/>
          <w:sz w:val="24"/>
          <w:szCs w:val="24"/>
        </w:rPr>
        <w:t xml:space="preserve">"1-1.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кредиты в рамках правительственных программ, направленных на развитие сельского хозяйства.";</w:t>
      </w:r>
    </w:p>
    <w:p>
      <w:pPr>
        <w:spacing w:after="120"/>
        <w:jc w:val="both"/>
      </w:pPr>
      <w:r>
        <w:rPr>
          <w:rFonts w:ascii="Arial" w:cs="Arial" w:eastAsia="Arial" w:hAnsi="Arial"/>
          <w:sz w:val="24"/>
          <w:szCs w:val="24"/>
        </w:rPr>
        <w:t xml:space="preserve">пункт 8 изложить в следующей редакции:</w:t>
      </w:r>
    </w:p>
    <w:p>
      <w:pPr>
        <w:spacing w:after="120"/>
        <w:jc w:val="both"/>
      </w:pPr>
      <w:r>
        <w:rPr>
          <w:rFonts w:ascii="Arial" w:cs="Arial" w:eastAsia="Arial" w:hAnsi="Arial"/>
          <w:sz w:val="24"/>
          <w:szCs w:val="24"/>
        </w:rPr>
        <w:t xml:space="preserve">"8.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120"/>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120"/>
        <w:jc w:val="both"/>
      </w:pPr>
      <w:r>
        <w:rPr>
          <w:rFonts w:ascii="Arial" w:cs="Arial" w:eastAsia="Arial" w:hAnsi="Arial"/>
          <w:sz w:val="24"/>
          <w:szCs w:val="24"/>
        </w:rPr>
        <w:t xml:space="preserve">2. Внести в </w:t>
      </w:r>
      <w:hyperlink w:history="1" r:id="rId-1tihgtegbueslu1qh26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fcvvmkfbfcom8bll0dn2">
        <w:r>
          <w:rPr>
            <w:rFonts w:ascii="Arial" w:cs="Arial" w:eastAsia="Arial" w:hAnsi="Arial"/>
            <w:color w:val="1D4ED8"/>
            <w:sz w:val="24"/>
            <w:szCs w:val="24"/>
            <w:u w:val="single"/>
          </w:rPr>
          <w:t xml:space="preserve">Положени</w:t>
        </w:r>
      </w:hyperlink>
      <w:r>
        <w:rPr>
          <w:rFonts w:ascii="Arial" w:cs="Arial" w:eastAsia="Arial" w:hAnsi="Arial"/>
          <w:sz w:val="24"/>
          <w:szCs w:val="24"/>
        </w:rPr>
        <w:t xml:space="preserve">я "О классификации активов и соответствующих отчислениях в резерв на покрытие потенциальных потерь и убытков" от 21 июля 2004 года № 18/3" следующие изменения и дополнения:</w:t>
      </w:r>
    </w:p>
    <w:p>
      <w:pPr>
        <w:spacing w:after="120"/>
        <w:jc w:val="both"/>
      </w:pPr>
      <w:r>
        <w:rPr>
          <w:rFonts w:ascii="Arial" w:cs="Arial" w:eastAsia="Arial" w:hAnsi="Arial"/>
          <w:sz w:val="24"/>
          <w:szCs w:val="24"/>
        </w:rPr>
        <w:t xml:space="preserve">в </w:t>
      </w:r>
      <w:hyperlink w:history="1" r:id="rIdvg96y60m-ksd3byzz7eh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hxcjqpuh46gk3hh-7hw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шестой пункта 4.2.2. изложить в следующей редакции:</w:t>
      </w:r>
    </w:p>
    <w:p>
      <w:pPr>
        <w:spacing w:after="120"/>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пункта 30 </w:t>
      </w:r>
      <w:hyperlink w:history="1" r:id="rIdx117iq2nyf59eeo99_ni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за счет которого может быть погашена задолженность;";</w:t>
      </w:r>
    </w:p>
    <w:p>
      <w:pPr>
        <w:spacing w:after="120"/>
        <w:jc w:val="both"/>
      </w:pPr>
      <w:r>
        <w:rPr>
          <w:rFonts w:ascii="Arial" w:cs="Arial" w:eastAsia="Arial" w:hAnsi="Arial"/>
          <w:sz w:val="24"/>
          <w:szCs w:val="24"/>
        </w:rPr>
        <w:t xml:space="preserve">- абзац второй пункта 4.3.2. изложить в следующей редакции:</w:t>
      </w:r>
    </w:p>
    <w:p>
      <w:pPr>
        <w:spacing w:after="120"/>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 либо обеспечение в рамках контрактного финансирования (например, право требования по финансируемому контракту, дебиторская задолженность и т.д.);";</w:t>
      </w:r>
    </w:p>
    <w:p>
      <w:pPr>
        <w:spacing w:after="120"/>
        <w:jc w:val="both"/>
      </w:pPr>
      <w:r>
        <w:rPr>
          <w:rFonts w:ascii="Arial" w:cs="Arial" w:eastAsia="Arial" w:hAnsi="Arial"/>
          <w:sz w:val="24"/>
          <w:szCs w:val="24"/>
        </w:rPr>
        <w:t xml:space="preserve">- абзац десятый пункта 4.3.5. изложить в следующей редакции:</w:t>
      </w:r>
    </w:p>
    <w:p>
      <w:pPr>
        <w:spacing w:after="120"/>
        <w:jc w:val="both"/>
      </w:pPr>
      <w:r>
        <w:rPr>
          <w:rFonts w:ascii="Arial" w:cs="Arial" w:eastAsia="Arial" w:hAnsi="Arial"/>
          <w:sz w:val="24"/>
          <w:szCs w:val="24"/>
        </w:rPr>
        <w:t xml:space="preserve">"Также исключением из данного подпункта являются льготные кредиты, выданные в рамках Фонда развития, а также кредиты, выданные под гарантию Фонда развития, согласно подпункту 4.1.1. настоящего </w:t>
      </w:r>
      <w:hyperlink w:history="1" r:id="rIdvzcnvukhn4v6uwapg8z8u">
        <w:r>
          <w:rPr>
            <w:rFonts w:ascii="Arial" w:cs="Arial" w:eastAsia="Arial" w:hAnsi="Arial"/>
            <w:color w:val="1D4ED8"/>
            <w:sz w:val="24"/>
            <w:szCs w:val="24"/>
            <w:u w:val="single"/>
          </w:rPr>
          <w:t xml:space="preserve">Положения.";</w:t>
        </w:r>
      </w:hyperlink>
    </w:p>
    <w:p>
      <w:pPr>
        <w:spacing w:after="120"/>
        <w:jc w:val="both"/>
      </w:pPr>
      <w:r>
        <w:rPr>
          <w:rFonts w:ascii="Arial" w:cs="Arial" w:eastAsia="Arial" w:hAnsi="Arial"/>
          <w:sz w:val="24"/>
          <w:szCs w:val="24"/>
        </w:rPr>
        <w:t xml:space="preserve">- пункт 5.1.4 дополнить абзацем вторым следующего содержания:</w:t>
      </w:r>
    </w:p>
    <w:p>
      <w:pPr>
        <w:spacing w:after="120"/>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60-го дня просроченности по платежам, то есть до наступления срока, указанного в настоящем пункте данного </w:t>
      </w:r>
      <w:hyperlink w:history="1" r:id="rIdqb5-x8apaa4m8qxxxs9-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 </w:t>
      </w:r>
      <w:r>
        <w:rPr>
          <w:rFonts w:ascii="Arial" w:cs="Arial" w:eastAsia="Arial" w:hAnsi="Arial"/>
          <w:sz w:val="24"/>
          <w:szCs w:val="24"/>
        </w:rPr>
        <w:t xml:space="preserve">Положении</w:t>
      </w:r>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 и дополнения: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первый пункта 21 изложить в следующей редакции:</w:t>
      </w:r>
    </w:p>
    <w:p>
      <w:pPr>
        <w:spacing w:after="120"/>
        <w:jc w:val="both"/>
      </w:pPr>
      <w:r>
        <w:rPr>
          <w:rFonts w:ascii="Arial" w:cs="Arial" w:eastAsia="Arial" w:hAnsi="Arial"/>
          <w:sz w:val="24"/>
          <w:szCs w:val="24"/>
        </w:rPr>
        <w:t xml:space="preserve">"Предписание применяется уполномоченными начальниками структурных подразделений Национального банка, заместителем председателя/членом Правления Национального банка, курирующим надзорный блок, Комитетом по надзору Национального банка.";</w:t>
      </w:r>
    </w:p>
    <w:p>
      <w:pPr>
        <w:spacing w:after="120"/>
        <w:jc w:val="both"/>
      </w:pPr>
      <w:r>
        <w:rPr>
          <w:rFonts w:ascii="Arial" w:cs="Arial" w:eastAsia="Arial" w:hAnsi="Arial"/>
          <w:sz w:val="24"/>
          <w:szCs w:val="24"/>
        </w:rPr>
        <w:t xml:space="preserve">- абзац второй пункта 32 изложить в следующей редакции:</w:t>
      </w:r>
    </w:p>
    <w:p>
      <w:pPr>
        <w:spacing w:after="120"/>
        <w:jc w:val="both"/>
      </w:pPr>
      <w:r>
        <w:rPr>
          <w:rFonts w:ascii="Arial" w:cs="Arial" w:eastAsia="Arial" w:hAnsi="Arial"/>
          <w:sz w:val="24"/>
          <w:szCs w:val="24"/>
        </w:rPr>
        <w:t xml:space="preserve">"- о проведении мероприятий по финансовому оздоровлению, реструктуризации и/или реорганизации банка;";</w:t>
      </w:r>
    </w:p>
    <w:p>
      <w:pPr>
        <w:spacing w:after="120"/>
        <w:jc w:val="both"/>
      </w:pPr>
      <w:r>
        <w:rPr>
          <w:rFonts w:ascii="Arial" w:cs="Arial" w:eastAsia="Arial" w:hAnsi="Arial"/>
          <w:sz w:val="24"/>
          <w:szCs w:val="24"/>
        </w:rPr>
        <w:t xml:space="preserve">- в пункте 33:</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"Национальный банк вправе предъявить к банку требование о проведении мероприятий по финансовому оздоровлению банка.";</w:t>
      </w:r>
    </w:p>
    <w:p>
      <w:pPr>
        <w:spacing w:after="120"/>
        <w:jc w:val="both"/>
      </w:pPr>
      <w:r>
        <w:rPr>
          <w:rFonts w:ascii="Arial" w:cs="Arial" w:eastAsia="Arial" w:hAnsi="Arial"/>
          <w:sz w:val="24"/>
          <w:szCs w:val="24"/>
        </w:rPr>
        <w:t xml:space="preserve">второе предложение абзаца третьего изложить в следующей редакции:</w:t>
      </w:r>
    </w:p>
    <w:p>
      <w:pPr>
        <w:spacing w:after="120"/>
        <w:jc w:val="both"/>
      </w:pPr>
      <w:r>
        <w:rPr>
          <w:rFonts w:ascii="Arial" w:cs="Arial" w:eastAsia="Arial" w:hAnsi="Arial"/>
          <w:sz w:val="24"/>
          <w:szCs w:val="24"/>
        </w:rPr>
        <w:t xml:space="preserve">"План составляется на один календарный год и должен быть представлен в Национальный банк в срок до 1 февраля календарного года на который он представляется.";</w:t>
      </w:r>
    </w:p>
    <w:p>
      <w:pPr>
        <w:spacing w:after="120"/>
        <w:jc w:val="both"/>
      </w:pPr>
      <w:r>
        <w:rPr>
          <w:rFonts w:ascii="Arial" w:cs="Arial" w:eastAsia="Arial" w:hAnsi="Arial"/>
          <w:sz w:val="24"/>
          <w:szCs w:val="24"/>
        </w:rPr>
        <w:t xml:space="preserve">- абзац второй пункта 34 изложить в следующей редакции:</w:t>
      </w:r>
    </w:p>
    <w:p>
      <w:pPr>
        <w:spacing w:after="120"/>
        <w:jc w:val="both"/>
      </w:pPr>
      <w:r>
        <w:rPr>
          <w:rFonts w:ascii="Arial" w:cs="Arial" w:eastAsia="Arial" w:hAnsi="Arial"/>
          <w:sz w:val="24"/>
          <w:szCs w:val="24"/>
        </w:rPr>
        <w:t xml:space="preserve">"В случае выставления требования к банку о проведении мер по финансовому оздоровлению План финансового оздоровления банка, включая обновленный План (в случае внесения изменений и дополнений в План финансового оздоровления по требованию Национального банка), а также мероприятия банка по его реализации подлежат согласованию с Комитетом по надзору Национального банка.";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дополнить </w:t>
      </w:r>
      <w:r>
        <w:rPr>
          <w:rFonts w:ascii="Arial" w:cs="Arial" w:eastAsia="Arial" w:hAnsi="Arial"/>
          <w:sz w:val="24"/>
          <w:szCs w:val="24"/>
        </w:rPr>
        <w:t xml:space="preserve">параграфом 3-1-1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3-1-1</w:t>
      </w:r>
      <w:r>
        <w:rPr>
          <w:rFonts w:ascii="Arial" w:cs="Arial" w:eastAsia="Arial" w:hAnsi="Arial"/>
          <w:sz w:val="24"/>
          <w:szCs w:val="24"/>
        </w:rPr>
        <w:t xml:space="preserve">. Требование о реорганизации банка</w:t>
      </w:r>
    </w:p>
    <w:p>
      <w:pPr>
        <w:spacing w:after="120"/>
        <w:jc w:val="both"/>
      </w:pPr>
      <w:r>
        <w:rPr>
          <w:rFonts w:ascii="Arial" w:cs="Arial" w:eastAsia="Arial" w:hAnsi="Arial"/>
          <w:sz w:val="24"/>
          <w:szCs w:val="24"/>
        </w:rPr>
        <w:t xml:space="preserve">36-1. Национальный банк вправе выставить требование о проведении принудительной реорганизации банка, в том числе в целях финансового оздоровления банка.</w:t>
      </w:r>
    </w:p>
    <w:p>
      <w:pPr>
        <w:spacing w:after="120"/>
        <w:jc w:val="both"/>
      </w:pPr>
      <w:r>
        <w:rPr>
          <w:rFonts w:ascii="Arial" w:cs="Arial" w:eastAsia="Arial" w:hAnsi="Arial"/>
          <w:sz w:val="24"/>
          <w:szCs w:val="24"/>
        </w:rPr>
        <w:t xml:space="preserve">36-2. В случае получения требования Национального банка о реорганизации руководитель исполнительного органа банка обязан в течение 3 (трех) рабочих дней со дня его получения обратиться с ходатайством к Совету директоров банка о созыве внеочередного собрания акционеров с целью принятия решения о реорганизации банка.</w:t>
      </w:r>
    </w:p>
    <w:p>
      <w:pPr>
        <w:spacing w:after="120"/>
        <w:jc w:val="both"/>
      </w:pPr>
      <w:r>
        <w:rPr>
          <w:rFonts w:ascii="Arial" w:cs="Arial" w:eastAsia="Arial" w:hAnsi="Arial"/>
          <w:sz w:val="24"/>
          <w:szCs w:val="24"/>
        </w:rPr>
        <w:t xml:space="preserve">36-3. В свою очередь, банк не позднее 20 (двадцати) рабочих дней со дня получения требования Национального банка обязан принять решение о реорганизации и известить об этом Национальный банк.</w:t>
      </w:r>
    </w:p>
    <w:p>
      <w:pPr>
        <w:spacing w:after="120"/>
        <w:jc w:val="both"/>
      </w:pPr>
      <w:r>
        <w:rPr>
          <w:rFonts w:ascii="Arial" w:cs="Arial" w:eastAsia="Arial" w:hAnsi="Arial"/>
          <w:sz w:val="24"/>
          <w:szCs w:val="24"/>
        </w:rPr>
        <w:t xml:space="preserve">36-4. Национальный банк вправе принять решение в отношении банков о выставлении требования о принудительной реорганизации в случаях:</w:t>
      </w:r>
    </w:p>
    <w:p>
      <w:pPr>
        <w:spacing w:after="120"/>
        <w:jc w:val="both"/>
      </w:pPr>
      <w:r>
        <w:rPr>
          <w:rFonts w:ascii="Arial" w:cs="Arial" w:eastAsia="Arial" w:hAnsi="Arial"/>
          <w:sz w:val="24"/>
          <w:szCs w:val="24"/>
        </w:rPr>
        <w:t xml:space="preserve">- нарушения банком антимонопольного законодательства. В данном случае может быть принято решение о реорганизации в форме разделения или выделения;</w:t>
      </w:r>
    </w:p>
    <w:p>
      <w:pPr>
        <w:spacing w:after="120"/>
        <w:jc w:val="both"/>
      </w:pPr>
      <w:r>
        <w:rPr>
          <w:rFonts w:ascii="Arial" w:cs="Arial" w:eastAsia="Arial" w:hAnsi="Arial"/>
          <w:sz w:val="24"/>
          <w:szCs w:val="24"/>
        </w:rPr>
        <w:t xml:space="preserve">- невыполнения требования Национального банка об увеличении уставного капитала путем дополнительной капитализации;</w:t>
      </w:r>
    </w:p>
    <w:p>
      <w:pPr>
        <w:spacing w:after="120"/>
        <w:jc w:val="both"/>
      </w:pPr>
      <w:r>
        <w:rPr>
          <w:rFonts w:ascii="Arial" w:cs="Arial" w:eastAsia="Arial" w:hAnsi="Arial"/>
          <w:sz w:val="24"/>
          <w:szCs w:val="24"/>
        </w:rPr>
        <w:t xml:space="preserve">- несоблюдения минимального размера уставного капитала и/или экономического норматива по минимальному размеру собственного капитала;</w:t>
      </w:r>
    </w:p>
    <w:p>
      <w:pPr>
        <w:spacing w:after="120"/>
        <w:jc w:val="both"/>
      </w:pPr>
      <w:r>
        <w:rPr>
          <w:rFonts w:ascii="Arial" w:cs="Arial" w:eastAsia="Arial" w:hAnsi="Arial"/>
          <w:sz w:val="24"/>
          <w:szCs w:val="24"/>
        </w:rPr>
        <w:t xml:space="preserve">-систематического (два и более в течение 12 месяцев) нарушения требований банковского законодательства, в том числе нарушения экономических нормативов, установленных банковским законодательством.</w:t>
      </w:r>
    </w:p>
    <w:p>
      <w:pPr>
        <w:spacing w:after="120"/>
        <w:jc w:val="both"/>
      </w:pPr>
      <w:r>
        <w:rPr>
          <w:rFonts w:ascii="Arial" w:cs="Arial" w:eastAsia="Arial" w:hAnsi="Arial"/>
          <w:sz w:val="24"/>
          <w:szCs w:val="24"/>
        </w:rPr>
        <w:t xml:space="preserve">36-5. Принудительная реорганизация банка осуществляется в порядке, установленном гражданским законодательством с учетом особенностей, предусмотренных банковским законодательством. Невыполнение требования о принудительной реорганизации банка является основанием для применения иных мер воздействия.</w:t>
      </w:r>
    </w:p>
    <w:p>
      <w:pPr>
        <w:spacing w:after="120"/>
        <w:jc w:val="both"/>
      </w:pPr>
      <w:r>
        <w:rPr>
          <w:rFonts w:ascii="Arial" w:cs="Arial" w:eastAsia="Arial" w:hAnsi="Arial"/>
          <w:sz w:val="24"/>
          <w:szCs w:val="24"/>
        </w:rPr>
        <w:t xml:space="preserve">36-6. На период проведения процесса реорганизации, Национальным банком могут быть установлены отдельные запреты/ограничения в деятельности банка (или банков).</w:t>
      </w:r>
    </w:p>
    <w:p>
      <w:pPr>
        <w:spacing w:after="120"/>
        <w:jc w:val="both"/>
      </w:pPr>
      <w:r>
        <w:rPr>
          <w:rFonts w:ascii="Arial" w:cs="Arial" w:eastAsia="Arial" w:hAnsi="Arial"/>
          <w:sz w:val="24"/>
          <w:szCs w:val="24"/>
        </w:rPr>
        <w:t xml:space="preserve">36-7. Срок проведения реорганизации банка не должен превышать 6 (шести) месяцев. Указанный срок может быть продлен еще на 6 (шесть) месяцев.";</w:t>
      </w:r>
    </w:p>
    <w:p>
      <w:pPr>
        <w:spacing w:after="120"/>
        <w:jc w:val="both"/>
      </w:pPr>
      <w:r>
        <w:rPr>
          <w:rFonts w:ascii="Arial" w:cs="Arial" w:eastAsia="Arial" w:hAnsi="Arial"/>
          <w:sz w:val="24"/>
          <w:szCs w:val="24"/>
        </w:rPr>
        <w:t xml:space="preserve">- второй абзац пункта 40 изложить в следующей редакции:</w:t>
      </w:r>
    </w:p>
    <w:p>
      <w:pPr>
        <w:spacing w:after="120"/>
        <w:jc w:val="both"/>
      </w:pPr>
      <w:r>
        <w:rPr>
          <w:rFonts w:ascii="Arial" w:cs="Arial" w:eastAsia="Arial" w:hAnsi="Arial"/>
          <w:sz w:val="24"/>
          <w:szCs w:val="24"/>
        </w:rPr>
        <w:t xml:space="preserve">"- если выявлены факты предоставления недостоверной (ложной) информации, на основании которых было получено разрешение Национального банка на участие в капитале банка, либо лицо перестало соответствовать требованиям, предъявляемым к учредителям (акционерам), предусмотренным законодательством. При этом Национальный банк отзывает разрешение на приобретение акций, ранее выданное заявителю.</w:t>
      </w:r>
    </w:p>
    <w:p>
      <w:pPr>
        <w:spacing w:after="120"/>
        <w:jc w:val="both"/>
      </w:pPr>
      <w:r>
        <w:rPr>
          <w:rFonts w:ascii="Arial" w:cs="Arial" w:eastAsia="Arial" w:hAnsi="Arial"/>
          <w:sz w:val="24"/>
          <w:szCs w:val="24"/>
        </w:rPr>
        <w:t xml:space="preserve">В случае предъявления требования о продаже акций учредителя (акционера) банка в связи с тем, что он перестал соответствовать требованиям, предъявляемым к учредителям (акционерам), согласно законодательству, одновременно с отзывом ранее выданного разрешения на приобретение акций учредителю (акционеру) Национальным банком может быть выдано разрешение на владение 10 (десятью) и более процентами голосующих акций банка (первое пороговое значение).";</w:t>
      </w:r>
    </w:p>
    <w:p>
      <w:pPr>
        <w:spacing w:after="120"/>
        <w:jc w:val="both"/>
      </w:pPr>
      <w:r>
        <w:rPr>
          <w:rFonts w:ascii="Arial" w:cs="Arial" w:eastAsia="Arial" w:hAnsi="Arial"/>
          <w:sz w:val="24"/>
          <w:szCs w:val="24"/>
        </w:rPr>
        <w:t xml:space="preserve">- пункт 56 дополнить абзацем следующего содержания:</w:t>
      </w:r>
    </w:p>
    <w:p>
      <w:pPr>
        <w:spacing w:after="120"/>
        <w:jc w:val="both"/>
      </w:pPr>
      <w:r>
        <w:rPr>
          <w:rFonts w:ascii="Arial" w:cs="Arial" w:eastAsia="Arial" w:hAnsi="Arial"/>
          <w:sz w:val="24"/>
          <w:szCs w:val="24"/>
        </w:rPr>
        <w:t xml:space="preserve">"Ограничения или запреты на проведение банковской/банковских операции/операций полностью требуют замены перечня (указания в перечне) разрешенных банковских операций к лицензии и принимаются Правлением Национального банка. Решение об ограничении или запрете на проведение банковских операций, требующее замены перечня или указания в перечне разрешенных банковских операций к лицензии, принимается также в рамках вопросов лицензирования деятельности банков для защиты интересов вкладчиков и обеспечения стабильности банковской системы (создание новых банков, реорганизация банков, создание "переходного банка").";</w:t>
      </w:r>
    </w:p>
    <w:p>
      <w:pPr>
        <w:spacing w:after="120"/>
        <w:jc w:val="both"/>
      </w:pPr>
      <w:r>
        <w:rPr>
          <w:rFonts w:ascii="Arial" w:cs="Arial" w:eastAsia="Arial" w:hAnsi="Arial"/>
          <w:sz w:val="24"/>
          <w:szCs w:val="24"/>
        </w:rPr>
        <w:t xml:space="preserve">- второй абзац пункта 62 изложить в следующей редакции:</w:t>
      </w:r>
    </w:p>
    <w:p>
      <w:pPr>
        <w:spacing w:after="120"/>
        <w:jc w:val="both"/>
      </w:pPr>
      <w:r>
        <w:rPr>
          <w:rFonts w:ascii="Arial" w:cs="Arial" w:eastAsia="Arial" w:hAnsi="Arial"/>
          <w:sz w:val="24"/>
          <w:szCs w:val="24"/>
        </w:rPr>
        <w:t xml:space="preserve">"- отстранении должностного лица от занимаемой должности в банке в случае привлечения должностного лица в качестве подозреваемого/обвиняемого в уголовном деле;";</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1</w:t>
      </w:r>
      <w:r>
        <w:rPr>
          <w:rFonts w:ascii="Arial" w:cs="Arial" w:eastAsia="Arial" w:hAnsi="Arial"/>
          <w:sz w:val="24"/>
          <w:szCs w:val="24"/>
        </w:rPr>
        <w:t xml:space="preserve"> к Положению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w:t>
      </w:r>
    </w:p>
    <w:p>
      <w:pPr>
        <w:spacing w:after="120"/>
        <w:jc w:val="both"/>
      </w:pPr>
      <w:r>
        <w:rPr>
          <w:rFonts w:ascii="Arial" w:cs="Arial" w:eastAsia="Arial" w:hAnsi="Arial"/>
          <w:sz w:val="24"/>
          <w:szCs w:val="24"/>
        </w:rPr>
        <w:t xml:space="preserve">пункт 24 изложить в следующей редакции:</w:t>
      </w:r>
    </w:p>
    <w:p>
      <w:pPr>
        <w:spacing w:after="120"/>
        <w:jc w:val="both"/>
      </w:pPr>
      <w:r>
        <w:rPr>
          <w:rFonts w:ascii="Arial" w:cs="Arial" w:eastAsia="Arial" w:hAnsi="Arial"/>
          <w:sz w:val="24"/>
          <w:szCs w:val="24"/>
        </w:rPr>
        <w:t xml:space="preserve">"24. Непредставление, а также несвоевременное, неполное или недостоверное представление в Национальный банк отчетов, а также других официально запрашиваемых документов и сведений.".</w:t>
      </w:r>
    </w:p>
    <w:p>
      <w:pPr>
        <w:spacing w:after="120"/>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ликвидации банков" от 8 июня 2017 года № 2017-П-12/23-5-(НПА) следующее изменение:</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ликвидации банков",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пятый пункта 5 признать утратившим силу.</w:t>
      </w:r>
    </w:p>
    <w:p>
      <w:pPr>
        <w:spacing w:after="120"/>
        <w:jc w:val="both"/>
      </w:pPr>
      <w:r>
        <w:rPr>
          <w:rFonts w:ascii="Arial" w:cs="Arial" w:eastAsia="Arial" w:hAnsi="Arial"/>
          <w:sz w:val="24"/>
          <w:szCs w:val="24"/>
        </w:rPr>
        <w:t xml:space="preserve">5. Внести в </w:t>
      </w:r>
      <w:hyperlink w:history="1" r:id="rIdz_-pclj6wybekx14veas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abiydjdshvdhcplfn_l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2017-П-12/23-1-(НПА)" следующие дополнения и изменения:</w:t>
      </w:r>
    </w:p>
    <w:p>
      <w:pPr>
        <w:spacing w:after="120"/>
        <w:jc w:val="both"/>
      </w:pPr>
      <w:r>
        <w:rPr>
          <w:rFonts w:ascii="Arial" w:cs="Arial" w:eastAsia="Arial" w:hAnsi="Arial"/>
          <w:sz w:val="24"/>
          <w:szCs w:val="24"/>
        </w:rPr>
        <w:t xml:space="preserve">в </w:t>
      </w:r>
      <w:hyperlink w:history="1" r:id="rIdjkvhhlf9resdyufcrob9p">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лицензировании деятельности банков", утвержденном вышеуказанным </w:t>
      </w:r>
      <w:hyperlink w:history="1" r:id="rIdiisv3ahfma25acy5jewn2">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в пункте 76 </w:t>
      </w:r>
      <w:hyperlink w:history="1" r:id="rIdsz4einxrl5yhlhlfvnyw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после слов "при установлении" дополнить словами "Правлением Национального банка";</w:t>
      </w:r>
    </w:p>
    <w:p>
      <w:pPr>
        <w:spacing w:after="120"/>
        <w:jc w:val="both"/>
      </w:pPr>
      <w:r>
        <w:rPr>
          <w:rFonts w:ascii="Arial" w:cs="Arial" w:eastAsia="Arial" w:hAnsi="Arial"/>
          <w:sz w:val="24"/>
          <w:szCs w:val="24"/>
        </w:rPr>
        <w:t xml:space="preserve">- пункт 208 дополнить абзацем третьим следующего содержания:</w:t>
      </w:r>
    </w:p>
    <w:p>
      <w:pPr>
        <w:spacing w:after="120"/>
        <w:jc w:val="both"/>
      </w:pPr>
      <w:r>
        <w:rPr>
          <w:rFonts w:ascii="Arial" w:cs="Arial" w:eastAsia="Arial" w:hAnsi="Arial"/>
          <w:sz w:val="24"/>
          <w:szCs w:val="24"/>
        </w:rPr>
        <w:t xml:space="preserve">"Филиал иностранного банка действует без образования Совета директоров и Правления. В филиале иностранного банка обязательно должны быть назначены следующие должные лица: руководитель филиала (генеральный менеджер), два его заместителя, руководители служб внутреннего аудита, риск-менеджмента, комплаенс-контроля, главный бухгалтер и руководители структурных подразделений ответственные за кредитную деятельность/финансирование по исламским принципам, за управление активами и пассивами филиала.".</w:t>
      </w:r>
    </w:p>
    <w:p>
      <w:pPr>
        <w:spacing w:after="120"/>
        <w:jc w:val="both"/>
      </w:pPr>
      <w:r>
        <w:rPr>
          <w:rFonts w:ascii="Arial" w:cs="Arial" w:eastAsia="Arial" w:hAnsi="Arial"/>
          <w:sz w:val="24"/>
          <w:szCs w:val="24"/>
        </w:rPr>
        <w:t xml:space="preserve">- в подпункте 7 пункта 2.6. </w:t>
      </w:r>
      <w:hyperlink w:history="1" r:id="rId63bkqknvyvnytgjzls04b">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Положению о лицензировании деятельности банков после слов "административных правонарушений" дополнить словами ", проступков, нарушений".</w:t>
      </w:r>
    </w:p>
    <w:p>
      <w:pPr>
        <w:spacing w:after="120"/>
        <w:jc w:val="both"/>
      </w:pPr>
      <w:r>
        <w:rPr>
          <w:rFonts w:ascii="Arial" w:cs="Arial" w:eastAsia="Arial" w:hAnsi="Arial"/>
          <w:sz w:val="24"/>
          <w:szCs w:val="24"/>
        </w:rPr>
        <w:t xml:space="preserve">6. Внести в </w:t>
      </w:r>
      <w:hyperlink w:history="1" r:id="rIdxvmb9rownuujdnil35h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wla9b_l7emeal5erndmb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 и дополнения:</w:t>
      </w:r>
    </w:p>
    <w:p>
      <w:pPr>
        <w:spacing w:after="120"/>
        <w:jc w:val="both"/>
      </w:pPr>
      <w:r>
        <w:rPr>
          <w:rFonts w:ascii="Arial" w:cs="Arial" w:eastAsia="Arial" w:hAnsi="Arial"/>
          <w:sz w:val="24"/>
          <w:szCs w:val="24"/>
        </w:rPr>
        <w:t xml:space="preserve">в Положении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w:t>
      </w:r>
      <w:hyperlink w:history="1" r:id="rIdyq4nxvz7x1mai3ljgyp2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третье предложение пункта 37 изложить в следующей редакции:</w:t>
      </w:r>
    </w:p>
    <w:p>
      <w:pPr>
        <w:spacing w:after="120"/>
        <w:jc w:val="both"/>
      </w:pPr>
      <w:r>
        <w:rPr>
          <w:rFonts w:ascii="Arial" w:cs="Arial" w:eastAsia="Arial" w:hAnsi="Arial"/>
          <w:sz w:val="24"/>
          <w:szCs w:val="24"/>
        </w:rPr>
        <w:t xml:space="preserve">"Банки должны письменно уведомлять уполномоченное структурное подразделение Национального банка о каждом случае сдачи в аренду/субаренду неиспользуемых банковских помещений и/или замены арендаторов с указанием информации об арендаторе/субарендаторе и сроке аренды.".</w:t>
      </w:r>
    </w:p>
    <w:p>
      <w:pPr>
        <w:spacing w:after="120"/>
        <w:jc w:val="both"/>
      </w:pPr>
      <w:r>
        <w:rPr>
          <w:rFonts w:ascii="Arial" w:cs="Arial" w:eastAsia="Arial" w:hAnsi="Arial"/>
          <w:sz w:val="24"/>
          <w:szCs w:val="24"/>
        </w:rPr>
        <w:t xml:space="preserve">7. Внести в </w:t>
      </w:r>
      <w:hyperlink w:history="1" r:id="rIdwoanenx_s1h72qalm3kk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2rxoyjunhovydiumm3wg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следующие изменения:</w:t>
      </w:r>
    </w:p>
    <w:p>
      <w:pPr>
        <w:spacing w:after="120"/>
        <w:jc w:val="both"/>
      </w:pPr>
      <w:r>
        <w:rPr>
          <w:rFonts w:ascii="Arial" w:cs="Arial" w:eastAsia="Arial" w:hAnsi="Arial"/>
          <w:sz w:val="24"/>
          <w:szCs w:val="24"/>
        </w:rPr>
        <w:t xml:space="preserve">- в наименовании </w:t>
      </w:r>
      <w:hyperlink w:history="1" r:id="rIddue5sixd2buzwiwomomx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на официальном языке слово "организациях" заменить словом "организаций":</w:t>
      </w:r>
    </w:p>
    <w:p>
      <w:pPr>
        <w:spacing w:after="120"/>
        <w:jc w:val="both"/>
      </w:pPr>
      <w:r>
        <w:rPr>
          <w:rFonts w:ascii="Arial" w:cs="Arial" w:eastAsia="Arial" w:hAnsi="Arial"/>
          <w:sz w:val="24"/>
          <w:szCs w:val="24"/>
        </w:rPr>
        <w:t xml:space="preserve">- наименование Положения в приложении к указанному </w:t>
      </w:r>
      <w:hyperlink w:history="1" r:id="rIdercktavll4grncvbdwdr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"Положение о минимальных требованиях к внешнему аудиту банков и других финансово-кредитных организаций, лицензируемых Национальным банком Кыргызской Республики";</w:t>
      </w:r>
    </w:p>
    <w:p>
      <w:pPr>
        <w:spacing w:after="120"/>
        <w:jc w:val="both"/>
      </w:pPr>
      <w:r>
        <w:rPr>
          <w:rFonts w:ascii="Arial" w:cs="Arial" w:eastAsia="Arial" w:hAnsi="Arial"/>
          <w:sz w:val="24"/>
          <w:szCs w:val="24"/>
        </w:rPr>
        <w:t xml:space="preserve">в </w:t>
      </w:r>
      <w:hyperlink w:history="1" r:id="rIdg2vfm_t2zas7bd_qdljt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внешнему аудиту банков и других небанковских финансово-кредитных организаций, лицензируемых Национальным банком Кыргызской Республики", утвержденном вышеуказанным </w:t>
      </w:r>
      <w:hyperlink w:history="1" r:id="rIdwo0l-g7s3s8eaqd5gtvz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hyperlink w:history="1" r:id="rIdanpufwww6kutirs7iaeg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(далее - Положение) устанавливает минимальные требования (критерии) для аудита банков и микрофинансовых компаний, в том числе осуществляющих деятельность в соответствии с исламскими принципами банковского дела и финансирования или имеющих "исламское окно", ОАО "Финансовая компания кредитных союзов", а также Государственного банка развития Кыргызской Республики (далее - банк).".</w:t>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w:t>
      </w:r>
      <w:hyperlink w:history="1" r:id="rIdp5anxmwri4m23vdxktbcc">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w:t>
      </w:r>
    </w:p>
    <w:p>
      <w:pPr>
        <w:spacing w:after="120"/>
        <w:jc w:val="both"/>
      </w:pPr>
      <w:r>
        <w:rPr>
          <w:rFonts w:ascii="Arial" w:cs="Arial" w:eastAsia="Arial" w:hAnsi="Arial"/>
          <w:sz w:val="24"/>
          <w:szCs w:val="24"/>
        </w:rPr>
        <w:t xml:space="preserve">в </w:t>
      </w:r>
      <w:hyperlink w:history="1" r:id="rIdezya1hgg0xcfi5bkgpam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w:history="1" r:id="rIdr1e43r8x_38yre5vl9f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w:t>
      </w:r>
      <w:hyperlink w:history="1" r:id="rIdqu7e0xi9m625hq-rlinen">
        <w:r>
          <w:rPr>
            <w:rFonts w:ascii="Arial" w:cs="Arial" w:eastAsia="Arial" w:hAnsi="Arial"/>
            <w:color w:val="1D4ED8"/>
            <w:sz w:val="24"/>
            <w:szCs w:val="24"/>
            <w:u w:val="single"/>
          </w:rPr>
          <w:t xml:space="preserve">раздела 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Максимальный размер риска по бланковым кредитам";</w:t>
      </w:r>
    </w:p>
    <w:p>
      <w:pPr>
        <w:spacing w:after="120"/>
        <w:jc w:val="both"/>
      </w:pPr>
      <w:r>
        <w:rPr>
          <w:rFonts w:ascii="Arial" w:cs="Arial" w:eastAsia="Arial" w:hAnsi="Arial"/>
          <w:sz w:val="24"/>
          <w:szCs w:val="24"/>
        </w:rPr>
        <w:t xml:space="preserve">- пункт 7.1. изложить в следующей редакции:</w:t>
      </w:r>
    </w:p>
    <w:p>
      <w:pPr>
        <w:spacing w:after="120"/>
        <w:jc w:val="both"/>
      </w:pPr>
      <w:r>
        <w:rPr>
          <w:rFonts w:ascii="Arial" w:cs="Arial" w:eastAsia="Arial" w:hAnsi="Arial"/>
          <w:sz w:val="24"/>
          <w:szCs w:val="24"/>
        </w:rPr>
        <w:t xml:space="preserve">"7.1. Максимальный размер риска по бланковым кредитам не должен превышать 50% размера чистого суммарного капитала банка.</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pPr>
        <w:spacing w:after="120"/>
        <w:jc w:val="both"/>
      </w:pPr>
      <w:r>
        <w:rPr>
          <w:rFonts w:ascii="Arial" w:cs="Arial" w:eastAsia="Arial" w:hAnsi="Arial"/>
          <w:sz w:val="24"/>
          <w:szCs w:val="24"/>
        </w:rPr>
        <w:t xml:space="preserve">- пункт 7.2. изложить в следующей редакции:</w:t>
      </w:r>
    </w:p>
    <w:p>
      <w:pPr>
        <w:spacing w:after="120"/>
        <w:jc w:val="both"/>
      </w:pPr>
      <w:r>
        <w:rPr>
          <w:rFonts w:ascii="Arial" w:cs="Arial" w:eastAsia="Arial" w:hAnsi="Arial"/>
          <w:sz w:val="24"/>
          <w:szCs w:val="24"/>
        </w:rPr>
        <w:t xml:space="preserve">"7.2. Банк вправе исключить из расчета норматива максимального размера риска по бланковым кредитам кредиты, выданные под поручительство членов группы солидарной ответственности при соблюдении условий и критериев, описанных в Положении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в части кредитования групп солидарной ответственности.";</w:t>
      </w:r>
    </w:p>
    <w:p>
      <w:pPr>
        <w:spacing w:after="120"/>
        <w:jc w:val="both"/>
      </w:pPr>
      <w:r>
        <w:rPr>
          <w:rFonts w:ascii="Arial" w:cs="Arial" w:eastAsia="Arial" w:hAnsi="Arial"/>
          <w:sz w:val="24"/>
          <w:szCs w:val="24"/>
        </w:rPr>
        <w:t xml:space="preserve">- первое предложение в графе "Обозначение" раздела "В" </w:t>
      </w:r>
      <w:hyperlink w:history="1" r:id="rIdnoxhgduvo7cgqfhkmc07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Положению об экономических нормативах и требованиях, обязательных для выполнения коммерческими банками Кыргызской Республики изложить в следующей редакции:</w:t>
      </w:r>
    </w:p>
    <w:p>
      <w:pPr>
        <w:spacing w:after="120"/>
        <w:jc w:val="both"/>
      </w:pPr>
      <w:r>
        <w:rPr>
          <w:rFonts w:ascii="Arial" w:cs="Arial" w:eastAsia="Arial" w:hAnsi="Arial"/>
          <w:sz w:val="24"/>
          <w:szCs w:val="24"/>
        </w:rPr>
        <w:t xml:space="preserve">"Максимальный размер риска по бланковым кредитам".</w:t>
      </w:r>
    </w:p>
    <w:p>
      <w:pPr>
        <w:spacing w:after="120"/>
        <w:jc w:val="both"/>
      </w:pPr>
      <w:r>
        <w:rPr>
          <w:rFonts w:ascii="Arial" w:cs="Arial" w:eastAsia="Arial" w:hAnsi="Arial"/>
          <w:sz w:val="24"/>
          <w:szCs w:val="24"/>
        </w:rPr>
        <w:t xml:space="preserve">9. Внести в </w:t>
      </w:r>
      <w:hyperlink w:history="1" r:id="rIdgqgqoydtkwlffob3d_k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jd2h2da0vcobas828yq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ограничениях кредитования" от 15 сентября 2004 года № 24/4" следующее изменение:</w:t>
      </w:r>
    </w:p>
    <w:p>
      <w:pPr>
        <w:spacing w:after="120"/>
        <w:jc w:val="both"/>
      </w:pPr>
      <w:r>
        <w:rPr>
          <w:rFonts w:ascii="Arial" w:cs="Arial" w:eastAsia="Arial" w:hAnsi="Arial"/>
          <w:sz w:val="24"/>
          <w:szCs w:val="24"/>
        </w:rPr>
        <w:t xml:space="preserve">в</w:t>
      </w:r>
      <w:hyperlink w:history="1" r:id="rIdbj0hxkcfq-qsvbjgg954f">
        <w:r>
          <w:rPr>
            <w:rFonts w:ascii="Arial" w:cs="Arial" w:eastAsia="Arial" w:hAnsi="Arial"/>
            <w:color w:val="1D4ED8"/>
            <w:sz w:val="24"/>
            <w:szCs w:val="24"/>
            <w:u w:val="single"/>
          </w:rPr>
          <w:t xml:space="preserve"> Инструкции</w:t>
        </w:r>
      </w:hyperlink>
      <w:r>
        <w:rPr>
          <w:rFonts w:ascii="Arial" w:cs="Arial" w:eastAsia="Arial" w:hAnsi="Arial"/>
          <w:sz w:val="24"/>
          <w:szCs w:val="24"/>
        </w:rPr>
        <w:t xml:space="preserve"> "Об ограничениях кредитования", утвержденной вышеуказанным </w:t>
      </w:r>
      <w:hyperlink w:history="1" r:id="rId7pqyicq0y5w02sywsqf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5.5. изложить в следующей редакции:</w:t>
      </w:r>
    </w:p>
    <w:p>
      <w:pPr>
        <w:spacing w:after="120"/>
        <w:jc w:val="both"/>
      </w:pPr>
      <w:r>
        <w:rPr>
          <w:rFonts w:ascii="Arial" w:cs="Arial" w:eastAsia="Arial" w:hAnsi="Arial"/>
          <w:sz w:val="24"/>
          <w:szCs w:val="24"/>
        </w:rPr>
        <w:t xml:space="preserve">"5.5. Совокупный размер бланковых кредитов не должен превышать 50% размера чистого суммарного капитала банка.</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awzdinyk7vfqtsvvaiw">
      <w:r>
        <w:rPr>
          <w:rFonts w:ascii="Arial" w:cs="Arial" w:eastAsia="Arial" w:hAnsi="Arial"/>
          <w:color w:val="132D3F"/>
          <w:sz w:val="16"/>
          <w:szCs w:val="16"/>
          <w:u w:val="single"/>
        </w:rPr>
        <w:t xml:space="preserve">dalil.kg/document/800258</w:t>
      </w:r>
    </w:hyperlink>
  </w:p>
  <w:p>
    <w:pPr>
      <w:spacing w:after="0" w:before="40"/>
      <w:jc w:val="center"/>
    </w:pPr>
    <w:hyperlink w:history="1" r:id="rIds_bepethyovr0aidfa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vy8za4388dkyio8chbad" Type="http://schemas.openxmlformats.org/officeDocument/2006/relationships/hyperlink" Target="https://dalil.kg/document/111486" TargetMode="External"/><Relationship Id="rId31cogjuekig8ibp8wiqsn" Type="http://schemas.openxmlformats.org/officeDocument/2006/relationships/hyperlink" Target="https://dalil.kg/document/800230" TargetMode="External"/><Relationship Id="rIdcrd1fxlxzyzw9r1eelryr" Type="http://schemas.openxmlformats.org/officeDocument/2006/relationships/hyperlink" Target="https://dalil.kg/document/800230" TargetMode="External"/><Relationship Id="rIdzmsx5piweespvgb2kmf9s" Type="http://schemas.openxmlformats.org/officeDocument/2006/relationships/hyperlink" Target="https://dalil.kg/document/302514" TargetMode="External"/><Relationship Id="rIdkafc8haknvqbrncql05zm" Type="http://schemas.openxmlformats.org/officeDocument/2006/relationships/hyperlink" Target="https://dalil.kg/document/800065" TargetMode="External"/><Relationship Id="rIdg5xe1veocvo9xwh1sdrk0" Type="http://schemas.openxmlformats.org/officeDocument/2006/relationships/hyperlink" Target="https://dalil.kg/document/302353" TargetMode="External"/><Relationship Id="rIdnlylfhijtft7e04bjzsvx" Type="http://schemas.openxmlformats.org/officeDocument/2006/relationships/hyperlink" Target="https://dalil.kg/document/302353" TargetMode="External"/><Relationship Id="rIdyfjj5fh4bkwhlkdt78acq" Type="http://schemas.openxmlformats.org/officeDocument/2006/relationships/hyperlink" Target="https://dalil.kg/document/302353" TargetMode="External"/><Relationship Id="rIdqpirt60nzwl9dgs1aerj_" Type="http://schemas.openxmlformats.org/officeDocument/2006/relationships/hyperlink" Target="https://dalil.kg/document/203972" TargetMode="External"/><Relationship Id="rIduihnsjucqotnpl13fe9ni" Type="http://schemas.openxmlformats.org/officeDocument/2006/relationships/hyperlink" Target="https://dalil.kg/document/203972" TargetMode="External"/><Relationship Id="rIdbo5zzzwvrxsb07dctn8vk" Type="http://schemas.openxmlformats.org/officeDocument/2006/relationships/hyperlink" Target="https://dalil.kg/document/302353" TargetMode="External"/><Relationship Id="rIdtozdg9rzq5xohr98rqahe" Type="http://schemas.openxmlformats.org/officeDocument/2006/relationships/hyperlink" Target="https://dalil.kg/document/302353" TargetMode="External"/><Relationship Id="rIdx9z_q9cgv3d8wvmb_7pts" Type="http://schemas.openxmlformats.org/officeDocument/2006/relationships/hyperlink" Target="https://dalil.kg/document/302353" TargetMode="External"/><Relationship Id="rIdk41zagqiuhdvqdvg7clqu" Type="http://schemas.openxmlformats.org/officeDocument/2006/relationships/hyperlink" Target="https://dalil.kg/document/302353" TargetMode="External"/><Relationship Id="rId-1tihgtegbueslu1qh26z" Type="http://schemas.openxmlformats.org/officeDocument/2006/relationships/hyperlink" Target="https://dalil.kg/document/31371" TargetMode="External"/><Relationship Id="rIdbfcvvmkfbfcom8bll0dn2" Type="http://schemas.openxmlformats.org/officeDocument/2006/relationships/hyperlink" Target="https://dalil.kg/document/31371" TargetMode="External"/><Relationship Id="rIdvg96y60m-ksd3byzz7ehp" Type="http://schemas.openxmlformats.org/officeDocument/2006/relationships/hyperlink" Target="https://dalil.kg/document/31371" TargetMode="External"/><Relationship Id="rIdhxcjqpuh46gk3hh-7hwha" Type="http://schemas.openxmlformats.org/officeDocument/2006/relationships/hyperlink" Target="https://dalil.kg/document/31371" TargetMode="External"/><Relationship Id="rIdx117iq2nyf59eeo99_nic" Type="http://schemas.openxmlformats.org/officeDocument/2006/relationships/hyperlink" Target="https://dalil.kg/document/302353" TargetMode="External"/><Relationship Id="rIdvzcnvukhn4v6uwapg8z8u" Type="http://schemas.openxmlformats.org/officeDocument/2006/relationships/hyperlink" Target="https://dalil.kg/document/31371" TargetMode="External"/><Relationship Id="rIdqb5-x8apaa4m8qxxxs9-l" Type="http://schemas.openxmlformats.org/officeDocument/2006/relationships/hyperlink" Target="https://dalil.kg/document/31371" TargetMode="External"/><Relationship Id="rIdz_-pclj6wybekx14veask" Type="http://schemas.openxmlformats.org/officeDocument/2006/relationships/hyperlink" Target="https://dalil.kg/document/800233" TargetMode="External"/><Relationship Id="rIdlabiydjdshvdhcplfn_lj" Type="http://schemas.openxmlformats.org/officeDocument/2006/relationships/hyperlink" Target="https://dalil.kg/document/800233" TargetMode="External"/><Relationship Id="rIdjkvhhlf9resdyufcrob9p" Type="http://schemas.openxmlformats.org/officeDocument/2006/relationships/hyperlink" Target="https://dalil.kg/document/800233" TargetMode="External"/><Relationship Id="rIdiisv3ahfma25acy5jewn2" Type="http://schemas.openxmlformats.org/officeDocument/2006/relationships/hyperlink" Target="https://dalil.kg/document/800233" TargetMode="External"/><Relationship Id="rIdsz4einxrl5yhlhlfvnywe" Type="http://schemas.openxmlformats.org/officeDocument/2006/relationships/hyperlink" Target="https://dalil.kg/document/800233" TargetMode="External"/><Relationship Id="rId63bkqknvyvnytgjzls04b" Type="http://schemas.openxmlformats.org/officeDocument/2006/relationships/hyperlink" Target="https://dalil.kg/document/800233" TargetMode="External"/><Relationship Id="rIdxvmb9rownuujdnil35hu2" Type="http://schemas.openxmlformats.org/officeDocument/2006/relationships/hyperlink" Target="https://dalil.kg/document/302514" TargetMode="External"/><Relationship Id="rIdwla9b_l7emeal5erndmbl" Type="http://schemas.openxmlformats.org/officeDocument/2006/relationships/hyperlink" Target="https://dalil.kg/document/302514" TargetMode="External"/><Relationship Id="rIdyq4nxvz7x1mai3ljgyp2n" Type="http://schemas.openxmlformats.org/officeDocument/2006/relationships/hyperlink" Target="https://dalil.kg/document/302514" TargetMode="External"/><Relationship Id="rIdwoanenx_s1h72qalm3kkn" Type="http://schemas.openxmlformats.org/officeDocument/2006/relationships/hyperlink" Target="https://dalil.kg/document/800233" TargetMode="External"/><Relationship Id="rId2rxoyjunhovydiumm3wg8" Type="http://schemas.openxmlformats.org/officeDocument/2006/relationships/hyperlink" Target="https://dalil.kg/document/800233" TargetMode="External"/><Relationship Id="rIddue5sixd2buzwiwomomx0" Type="http://schemas.openxmlformats.org/officeDocument/2006/relationships/hyperlink" Target="https://dalil.kg/document/800233" TargetMode="External"/><Relationship Id="rIdercktavll4grncvbdwdri" Type="http://schemas.openxmlformats.org/officeDocument/2006/relationships/hyperlink" Target="https://dalil.kg/document/800233" TargetMode="External"/><Relationship Id="rIdg2vfm_t2zas7bd_qdljte" Type="http://schemas.openxmlformats.org/officeDocument/2006/relationships/hyperlink" Target="https://dalil.kg/document/800233" TargetMode="External"/><Relationship Id="rIdwo0l-g7s3s8eaqd5gtvzf" Type="http://schemas.openxmlformats.org/officeDocument/2006/relationships/hyperlink" Target="https://dalil.kg/document/800233" TargetMode="External"/><Relationship Id="rIdanpufwww6kutirs7iaegb" Type="http://schemas.openxmlformats.org/officeDocument/2006/relationships/hyperlink" Target="https://dalil.kg/document/800233" TargetMode="External"/><Relationship Id="rIdp5anxmwri4m23vdxktbcc" Type="http://schemas.openxmlformats.org/officeDocument/2006/relationships/hyperlink" Target="https://dalil.kg/document/31371" TargetMode="External"/><Relationship Id="rIdezya1hgg0xcfi5bkgpamd" Type="http://schemas.openxmlformats.org/officeDocument/2006/relationships/hyperlink" Target="https://dalil.kg/document/31371" TargetMode="External"/><Relationship Id="rIdr1e43r8x_38yre5vl9fyy" Type="http://schemas.openxmlformats.org/officeDocument/2006/relationships/hyperlink" Target="https://dalil.kg/document/31371" TargetMode="External"/><Relationship Id="rIdqu7e0xi9m625hq-rlinen" Type="http://schemas.openxmlformats.org/officeDocument/2006/relationships/hyperlink" Target="https://dalil.kg/document/31371" TargetMode="External"/><Relationship Id="rIdnoxhgduvo7cgqfhkmc07p" Type="http://schemas.openxmlformats.org/officeDocument/2006/relationships/hyperlink" Target="https://dalil.kg/document/31371" TargetMode="External"/><Relationship Id="rIdgqgqoydtkwlffob3d_krn" Type="http://schemas.openxmlformats.org/officeDocument/2006/relationships/hyperlink" Target="https://dalil.kg/document/206630" TargetMode="External"/><Relationship Id="rIdzjd2h2da0vcobas828yqe" Type="http://schemas.openxmlformats.org/officeDocument/2006/relationships/hyperlink" Target="https://dalil.kg/document/206630" TargetMode="External"/><Relationship Id="rIdbj0hxkcfq-qsvbjgg954f" Type="http://schemas.openxmlformats.org/officeDocument/2006/relationships/hyperlink" Target="https://dalil.kg/document/206630" TargetMode="External"/><Relationship Id="rId7pqyicq0y5w02sywsqfy8" Type="http://schemas.openxmlformats.org/officeDocument/2006/relationships/hyperlink" Target="https://dalil.kg/document/20663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awzdinyk7vfqtsvvaiw" Type="http://schemas.openxmlformats.org/officeDocument/2006/relationships/hyperlink" Target="https://dalil.kg/document/800258" TargetMode="External"/><Relationship Id="rIds_bepethyovr0aidfa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2026-09-24T04:38:23.460Z</dcterms:created>
  <dcterms:modified xsi:type="dcterms:W3CDTF">2026-09-24T04:38:23.460Z</dcterms:modified>
</cp:coreProperties>
</file>

<file path=docProps/custom.xml><?xml version="1.0" encoding="utf-8"?>
<Properties xmlns="http://schemas.openxmlformats.org/officeDocument/2006/custom-properties" xmlns:vt="http://schemas.openxmlformats.org/officeDocument/2006/docPropsVTypes"/>
</file>