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s9ttflepxz_hyktbjpt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апреля 2022 года № 022-П-12/27-4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2020 года 18 марта № 2020-П-12/13-1-(БС)</w:t>
      </w:r>
    </w:p>
    <w:p>
      <w:pPr>
        <w:spacing w:after="480" w:before="200"/>
        <w:jc w:val="center"/>
      </w:pPr>
      <w:r>
        <w:rPr>
          <w:rFonts w:ascii="Arial" w:cs="Arial" w:eastAsia="Arial" w:hAnsi="Arial"/>
          <w:b/>
          <w:bCs/>
          <w:sz w:val="28"/>
          <w:szCs w:val="28"/>
        </w:rPr>
        <w:t xml:space="preserve">О временных правилах регулирования деятельности финансово-кредитных организаций в связи с пандемией COVID-19</w:t>
      </w:r>
    </w:p>
    <w:p>
      <w:pPr>
        <w:spacing w:after="120"/>
        <w:ind w:firstLine="397"/>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9 апреля 2020 года № 2020-П-14/21-1</w:t>
      </w:r>
      <w:r>
        <w:rPr>
          <w:rFonts w:ascii="Arial" w:cs="Arial" w:eastAsia="Arial" w:hAnsi="Arial"/>
          <w:i/>
          <w:iCs/>
          <w:sz w:val="24"/>
          <w:szCs w:val="24"/>
        </w:rPr>
        <w:t xml:space="preserve">, </w:t>
      </w:r>
      <w:r>
        <w:rPr>
          <w:rFonts w:ascii="Arial" w:cs="Arial" w:eastAsia="Arial" w:hAnsi="Arial"/>
          <w:i/>
          <w:iCs/>
          <w:sz w:val="24"/>
          <w:szCs w:val="24"/>
        </w:rPr>
        <w:t xml:space="preserve">29 апреля 2020 года № 2020-П-12/25-7</w:t>
      </w:r>
      <w:r>
        <w:rPr>
          <w:rFonts w:ascii="Arial" w:cs="Arial" w:eastAsia="Arial" w:hAnsi="Arial"/>
          <w:i/>
          <w:iCs/>
          <w:sz w:val="24"/>
          <w:szCs w:val="24"/>
        </w:rPr>
        <w:t xml:space="preserve">, </w:t>
      </w:r>
      <w:r>
        <w:rPr>
          <w:rFonts w:ascii="Arial" w:cs="Arial" w:eastAsia="Arial" w:hAnsi="Arial"/>
          <w:i/>
          <w:iCs/>
          <w:sz w:val="24"/>
          <w:szCs w:val="24"/>
        </w:rPr>
        <w:t xml:space="preserve">17 июня 2020 года № 2020-П-33/35-1</w:t>
      </w:r>
      <w:r>
        <w:rPr>
          <w:rFonts w:ascii="Arial" w:cs="Arial" w:eastAsia="Arial" w:hAnsi="Arial"/>
          <w:i/>
          <w:iCs/>
          <w:sz w:val="24"/>
          <w:szCs w:val="24"/>
        </w:rPr>
        <w:t xml:space="preserve">, </w:t>
      </w:r>
      <w:hyperlink w:history="1" r:id="rIdfswubqjt6n82fjbs-tedq">
        <w:r>
          <w:rPr>
            <w:rFonts w:ascii="Arial" w:cs="Arial" w:eastAsia="Arial" w:hAnsi="Arial"/>
            <w:i/>
            <w:iCs/>
            <w:color w:val="1D4ED8"/>
            <w:sz w:val="24"/>
            <w:szCs w:val="24"/>
            <w:u w:val="single"/>
          </w:rPr>
          <w:t xml:space="preserve">28 декабря 2020 года № 2020-П-14/75-1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связи с ситуацией, сложившейся из-за пандемии COVID-19 (далее - коронавирусная инфекция) в целях сохранения стабильности в банковской и финансовой системах, защиты прав потребителей банковских услуг, а также сглаживания негативных последствий для экономики Кыргызской Республики, в соответствии со статьями </w:t>
      </w:r>
      <w:hyperlink w:history="1" r:id="rIdoprv2qmbefp6ntmlwcavd">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9-s4mz9yaochsk3vy_t7m">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ind w:firstLine="397"/>
        <w:jc w:val="both"/>
      </w:pPr>
      <w:r>
        <w:rPr>
          <w:rFonts w:ascii="Arial" w:cs="Arial" w:eastAsia="Arial" w:hAnsi="Arial"/>
          <w:sz w:val="24"/>
          <w:szCs w:val="24"/>
        </w:rPr>
        <w:t xml:space="preserve">1. Банкам и небанковским финансово-кредитным организациям, зарегистрированным в Кыргызской Республике в связи с распространением коронавирусной инфекции (закрытие границ, введение ограничений государством, карантин и др.):</w:t>
      </w:r>
    </w:p>
    <w:p>
      <w:pPr>
        <w:spacing w:after="120"/>
        <w:ind w:firstLine="397"/>
        <w:jc w:val="both"/>
      </w:pPr>
      <w:r>
        <w:rPr>
          <w:rFonts w:ascii="Arial" w:cs="Arial" w:eastAsia="Arial" w:hAnsi="Arial"/>
          <w:sz w:val="24"/>
          <w:szCs w:val="24"/>
        </w:rPr>
        <w:t xml:space="preserve">- не начислять и не взимать комиссионные и иные платежи, связанные с пересмотром условий кредитных договоров;</w:t>
      </w:r>
    </w:p>
    <w:p>
      <w:pPr>
        <w:spacing w:after="120"/>
        <w:ind w:firstLine="397"/>
        <w:jc w:val="both"/>
      </w:pPr>
      <w:r>
        <w:rPr>
          <w:rFonts w:ascii="Arial" w:cs="Arial" w:eastAsia="Arial" w:hAnsi="Arial"/>
          <w:sz w:val="24"/>
          <w:szCs w:val="24"/>
        </w:rPr>
        <w:t xml:space="preserve">- не налагать и не взимать штрафные санкции, в том числе неустойку (штраф/пени), на заемщиков за неисполнение/ненадлежащее исполнение обязательств, предусмотренных кредитными договорами.</w:t>
      </w:r>
    </w:p>
    <w:p>
      <w:pPr>
        <w:spacing w:after="120"/>
        <w:ind w:firstLine="397"/>
        <w:jc w:val="both"/>
      </w:pPr>
      <w:r>
        <w:rPr>
          <w:rFonts w:ascii="Arial" w:cs="Arial" w:eastAsia="Arial" w:hAnsi="Arial"/>
          <w:sz w:val="24"/>
          <w:szCs w:val="24"/>
        </w:rPr>
        <w:t xml:space="preserve">2. При изменении условий кредитных договоров, связанных с изменениями денежных потоков и финансового положения заемщика ввиду распространения коронавирусной инфекции, по таким кредитам небанковская финансово-кредитная организация, кроме микрофинансовых компаний, имеющих право на привлечение депозитов, гарантийных фондов и ОАО "Финансовая компания кредитных союзов", вправе не ухудшать категорию классификации вне зависимости от следующих условий:</w:t>
      </w:r>
    </w:p>
    <w:p>
      <w:pPr>
        <w:spacing w:after="120"/>
        <w:ind w:firstLine="397"/>
        <w:jc w:val="both"/>
      </w:pPr>
      <w:r>
        <w:rPr>
          <w:rFonts w:ascii="Arial" w:cs="Arial" w:eastAsia="Arial" w:hAnsi="Arial"/>
          <w:sz w:val="24"/>
          <w:szCs w:val="24"/>
        </w:rPr>
        <w:t xml:space="preserve">- данный кредит был ранее реструктуризирован;</w:t>
      </w:r>
    </w:p>
    <w:p>
      <w:pPr>
        <w:spacing w:after="120"/>
        <w:ind w:firstLine="397"/>
        <w:jc w:val="both"/>
      </w:pPr>
      <w:r>
        <w:rPr>
          <w:rFonts w:ascii="Arial" w:cs="Arial" w:eastAsia="Arial" w:hAnsi="Arial"/>
          <w:sz w:val="24"/>
          <w:szCs w:val="24"/>
        </w:rPr>
        <w:t xml:space="preserve">- наличие просроченных сумм по погашению задолженности по кредитам ввиду обстоятельств, связанных с распространением коронавирусной инфекции.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kcnaorcztjtiimt5woh_q">
        <w:r>
          <w:rPr>
            <w:rFonts w:ascii="Arial" w:cs="Arial" w:eastAsia="Arial" w:hAnsi="Arial"/>
            <w:i/>
            <w:iCs/>
            <w:color w:val="1D4ED8"/>
            <w:sz w:val="24"/>
            <w:szCs w:val="24"/>
            <w:u w:val="single"/>
          </w:rPr>
          <w:t xml:space="preserve">29 апреля 2020 года № 2020-П-12/25-7</w:t>
        </w:r>
      </w:hyperlink>
      <w:r>
        <w:rPr>
          <w:rFonts w:ascii="Arial" w:cs="Arial" w:eastAsia="Arial" w:hAnsi="Arial"/>
          <w:i/>
          <w:iCs/>
          <w:sz w:val="24"/>
          <w:szCs w:val="24"/>
        </w:rPr>
        <w:t xml:space="preserve">, </w:t>
      </w:r>
      <w:hyperlink w:history="1" r:id="rIdno_7gg1_fzip-wd4qlesc">
        <w:r>
          <w:rPr>
            <w:rFonts w:ascii="Arial" w:cs="Arial" w:eastAsia="Arial" w:hAnsi="Arial"/>
            <w:i/>
            <w:iCs/>
            <w:color w:val="1D4ED8"/>
            <w:sz w:val="24"/>
            <w:szCs w:val="24"/>
            <w:u w:val="single"/>
          </w:rPr>
          <w:t xml:space="preserve">17 июня 2020 года № 2020-П-33/35-1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Изменение условий кредитных договоров, в том числе по ранее реструктуризированным кредитам, проводить с учетом экономических прогнозов, анализа внешнего и внутреннего рынка, денежных потоков и финансового состояния заемщика, с соблюдением принципов добросовестности, прозрачности, достоверности, партнерства по отношению к заемщикам, учета их экономических интересов и финансовых возможностей.</w:t>
      </w:r>
    </w:p>
    <w:p>
      <w:pPr>
        <w:spacing w:after="120"/>
        <w:ind w:firstLine="397"/>
        <w:jc w:val="both"/>
      </w:pPr>
      <w:r>
        <w:rPr>
          <w:rFonts w:ascii="Arial" w:cs="Arial" w:eastAsia="Arial" w:hAnsi="Arial"/>
          <w:sz w:val="24"/>
          <w:szCs w:val="24"/>
        </w:rPr>
        <w:t xml:space="preserve">4. Банкам и небанковским финансово-кредитным организациям рекомендовать произвести пересмотр сроков платежей по кредитам, связанным с обстоятельствами распространения коронавирусной инфекции, и предоставить отсрочку по платежам, как минимум, на 3 (три) месяца при обращении заемщиков.</w:t>
      </w:r>
    </w:p>
    <w:p>
      <w:pPr>
        <w:spacing w:after="120"/>
        <w:ind w:firstLine="397"/>
        <w:jc w:val="both"/>
      </w:pPr>
      <w:r>
        <w:rPr>
          <w:rFonts w:ascii="Arial" w:cs="Arial" w:eastAsia="Arial" w:hAnsi="Arial"/>
          <w:sz w:val="24"/>
          <w:szCs w:val="24"/>
        </w:rPr>
        <w:t xml:space="preserve">5. При возникновении просроченной задолженности, связанной с обстоятельствами распространения коронавирусной инфекции, а также по итогам проведения мониторинга кредитов заемщиков, чья предпринимательская деятельность связана с ограничениями, введенными ввиду распространения коронавирусной инфекции, небанковская финансово-кредитная организация, кроме микрофинансовых компаний, имеющих право на привлечение депозитов, гарантийных фондов и ОАО "Финансовая компания кредитных союзов", вправе не ухудшать категорию классификацию в связи с изменением финансовых потоков и текущим финансовым состоянием заемщика.</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7gcpjwxbwzc9zd8oyah4h">
        <w:r>
          <w:rPr>
            <w:rFonts w:ascii="Arial" w:cs="Arial" w:eastAsia="Arial" w:hAnsi="Arial"/>
            <w:i/>
            <w:iCs/>
            <w:color w:val="1D4ED8"/>
            <w:sz w:val="24"/>
            <w:szCs w:val="24"/>
            <w:u w:val="single"/>
          </w:rPr>
          <w:t xml:space="preserve">29 апреля 2020 года № 2020-П-12/25-7</w:t>
        </w:r>
      </w:hyperlink>
      <w:r>
        <w:rPr>
          <w:rFonts w:ascii="Arial" w:cs="Arial" w:eastAsia="Arial" w:hAnsi="Arial"/>
          <w:i/>
          <w:iCs/>
          <w:sz w:val="24"/>
          <w:szCs w:val="24"/>
        </w:rPr>
        <w:t xml:space="preserve">, </w:t>
      </w:r>
      <w:hyperlink w:history="1" r:id="rIdgnepjxl42bjtv2yjson4q">
        <w:r>
          <w:rPr>
            <w:rFonts w:ascii="Arial" w:cs="Arial" w:eastAsia="Arial" w:hAnsi="Arial"/>
            <w:i/>
            <w:iCs/>
            <w:color w:val="1D4ED8"/>
            <w:sz w:val="24"/>
            <w:szCs w:val="24"/>
            <w:u w:val="single"/>
          </w:rPr>
          <w:t xml:space="preserve">17 июня 2020 года № 2020-П-33/35-1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Кредитным бюро предусмотреть графу в формате отчета, предоставляемом поставщиками кредитной информации по просроченным кредитам заемщиков, для указания статуса нарушения условий кредитного договора в связи распространением коронавирусной инфекции.</w:t>
      </w:r>
    </w:p>
    <w:p>
      <w:pPr>
        <w:spacing w:after="120"/>
        <w:ind w:firstLine="397"/>
        <w:jc w:val="both"/>
      </w:pPr>
      <w:r>
        <w:rPr>
          <w:rFonts w:ascii="Arial" w:cs="Arial" w:eastAsia="Arial" w:hAnsi="Arial"/>
          <w:sz w:val="24"/>
          <w:szCs w:val="24"/>
        </w:rPr>
        <w:t xml:space="preserve">7. Поставщикам кредитной информации при передаче информации кредитным бюро о просроченных кредитах указывать причину задержки платежей по кредитам в связи распространением коронавирусной инфекции.</w:t>
      </w:r>
    </w:p>
    <w:p>
      <w:pPr>
        <w:spacing w:after="120"/>
        <w:ind w:firstLine="397"/>
        <w:jc w:val="both"/>
      </w:pPr>
      <w:r>
        <w:rPr>
          <w:rFonts w:ascii="Arial" w:cs="Arial" w:eastAsia="Arial" w:hAnsi="Arial"/>
          <w:sz w:val="24"/>
          <w:szCs w:val="24"/>
        </w:rPr>
        <w:t xml:space="preserve">8. Банкам и небанковским финансово-кредитным организациям предоставлять в Национальный банк информацию о кредитах, по которым были изменены условия в рамках настоящего постановления, в том числе по реструктуризированным кредитам по состоянию на 15 число и последний рабочий день каждого месяца.</w:t>
      </w:r>
    </w:p>
    <w:p>
      <w:pPr>
        <w:spacing w:after="120"/>
        <w:ind w:firstLine="397"/>
        <w:jc w:val="both"/>
      </w:pPr>
      <w:r>
        <w:rPr>
          <w:rFonts w:ascii="Arial" w:cs="Arial" w:eastAsia="Arial" w:hAnsi="Arial"/>
          <w:i/>
          <w:iCs/>
          <w:sz w:val="24"/>
          <w:szCs w:val="24"/>
        </w:rPr>
        <w:t xml:space="preserve">8-1. (Утрачивает силу в соответствии с </w:t>
      </w:r>
      <w:hyperlink w:history="1" r:id="rIdnmrf-g0hozcxljn0etni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декабря 2020 года № 2020-П-14/75-1)</w:t>
      </w:r>
    </w:p>
    <w:p>
      <w:pPr>
        <w:spacing w:after="120"/>
        <w:ind w:firstLine="397"/>
        <w:jc w:val="both"/>
      </w:pPr>
      <w:r>
        <w:rPr>
          <w:rFonts w:ascii="Arial" w:cs="Arial" w:eastAsia="Arial" w:hAnsi="Arial"/>
          <w:i/>
          <w:iCs/>
          <w:sz w:val="24"/>
          <w:szCs w:val="24"/>
        </w:rPr>
        <w:t xml:space="preserve">8-2. (Утрачивает силу в соответствии с </w:t>
      </w:r>
      <w:hyperlink w:history="1" r:id="rId09vvk2wqfyw3d8cda5pc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декабря 2020 года № 2020-П-14/75-1)</w:t>
      </w:r>
    </w:p>
    <w:p>
      <w:pPr>
        <w:spacing w:after="120"/>
        <w:ind w:firstLine="397"/>
        <w:jc w:val="both"/>
      </w:pPr>
      <w:r>
        <w:rPr>
          <w:rFonts w:ascii="Arial" w:cs="Arial" w:eastAsia="Arial" w:hAnsi="Arial"/>
          <w:sz w:val="24"/>
          <w:szCs w:val="24"/>
        </w:rPr>
        <w:t xml:space="preserve">9. На банки и небанковские финансово-кредитные организации распространяются регулятивные требования нормативных правовых актов Национального банка Кыргызской Республики в части, не противоречащей настоящему постановлению.</w:t>
      </w:r>
    </w:p>
    <w:p>
      <w:pPr>
        <w:spacing w:after="120"/>
        <w:ind w:firstLine="397"/>
        <w:jc w:val="both"/>
      </w:pPr>
      <w:r>
        <w:rPr>
          <w:rFonts w:ascii="Arial" w:cs="Arial" w:eastAsia="Arial" w:hAnsi="Arial"/>
          <w:sz w:val="24"/>
          <w:szCs w:val="24"/>
        </w:rPr>
        <w:t xml:space="preserve">10. 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w:t>
      </w:r>
    </w:p>
    <w:p>
      <w:pPr>
        <w:spacing w:after="120"/>
        <w:ind w:firstLine="397"/>
        <w:jc w:val="both"/>
      </w:pPr>
      <w:r>
        <w:rPr>
          <w:rFonts w:ascii="Arial" w:cs="Arial" w:eastAsia="Arial" w:hAnsi="Arial"/>
          <w:sz w:val="24"/>
          <w:szCs w:val="24"/>
        </w:rPr>
        <w:t xml:space="preserve">11. Юридическому управлению:</w:t>
      </w:r>
    </w:p>
    <w:p>
      <w:pPr>
        <w:spacing w:after="120"/>
        <w:ind w:firstLine="39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ind w:firstLine="39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12.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организаций, кредитных союзов, ОАО "Финансовая компания кредитных союзов", ОАО "Гарантийный фонд", кредитных бюро, всех структурных подразделений, областных управлений, представительства Национального банка в Баткенской области.</w:t>
      </w:r>
    </w:p>
    <w:p>
      <w:pPr>
        <w:spacing w:after="120"/>
        <w:ind w:firstLine="397"/>
        <w:jc w:val="both"/>
      </w:pPr>
      <w:r>
        <w:rPr>
          <w:rFonts w:ascii="Arial" w:cs="Arial" w:eastAsia="Arial" w:hAnsi="Arial"/>
          <w:sz w:val="24"/>
          <w:szCs w:val="24"/>
        </w:rPr>
        <w:t xml:space="preserve">13.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b-j_ogvgsbn9is2w6s-">
      <w:r>
        <w:rPr>
          <w:rFonts w:ascii="Arial" w:cs="Arial" w:eastAsia="Arial" w:hAnsi="Arial"/>
          <w:color w:val="132D3F"/>
          <w:sz w:val="16"/>
          <w:szCs w:val="16"/>
          <w:u w:val="single"/>
        </w:rPr>
        <w:t xml:space="preserve">dalil.kg/document/800528</w:t>
      </w:r>
    </w:hyperlink>
  </w:p>
  <w:p>
    <w:pPr>
      <w:spacing w:after="0" w:before="40"/>
      <w:jc w:val="center"/>
    </w:pPr>
    <w:hyperlink w:history="1" r:id="rId7jimota1iyzuqdxfoy6v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9ttflepxz_hyktbjpt7" Type="http://schemas.openxmlformats.org/officeDocument/2006/relationships/hyperlink" Target="https://dalil.kg/document/800472" TargetMode="External"/><Relationship Id="rIdfswubqjt6n82fjbs-tedq" Type="http://schemas.openxmlformats.org/officeDocument/2006/relationships/hyperlink" Target="https://dalil.kg/document/800705" TargetMode="External"/><Relationship Id="rIdoprv2qmbefp6ntmlwcavd" Type="http://schemas.openxmlformats.org/officeDocument/2006/relationships/hyperlink" Target="https://dalil.kg/document/111486#st_20" TargetMode="External"/><Relationship Id="rId9-s4mz9yaochsk3vy_t7m" Type="http://schemas.openxmlformats.org/officeDocument/2006/relationships/hyperlink" Target="https://dalil.kg/document/111486#st_68" TargetMode="External"/><Relationship Id="rIdkcnaorcztjtiimt5woh_q" Type="http://schemas.openxmlformats.org/officeDocument/2006/relationships/hyperlink" Target="https://dalil.kg/document/800530" TargetMode="External"/><Relationship Id="rIdno_7gg1_fzip-wd4qlesc" Type="http://schemas.openxmlformats.org/officeDocument/2006/relationships/hyperlink" Target="https://dalil.kg/document/800531" TargetMode="External"/><Relationship Id="rId7gcpjwxbwzc9zd8oyah4h" Type="http://schemas.openxmlformats.org/officeDocument/2006/relationships/hyperlink" Target="https://dalil.kg/document/800530" TargetMode="External"/><Relationship Id="rIdgnepjxl42bjtv2yjson4q" Type="http://schemas.openxmlformats.org/officeDocument/2006/relationships/hyperlink" Target="https://dalil.kg/document/800531" TargetMode="External"/><Relationship Id="rIdnmrf-g0hozcxljn0etnil" Type="http://schemas.openxmlformats.org/officeDocument/2006/relationships/hyperlink" Target="https://dalil.kg/document/800705" TargetMode="External"/><Relationship Id="rId09vvk2wqfyw3d8cda5pcf" Type="http://schemas.openxmlformats.org/officeDocument/2006/relationships/hyperlink" Target="https://dalil.kg/document/80070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b-j_ogvgsbn9is2w6s-" Type="http://schemas.openxmlformats.org/officeDocument/2006/relationships/hyperlink" Target="https://dalil.kg/document/800528" TargetMode="External"/><Relationship Id="rId7jimota1iyzuqdxfoy6v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2026-09-25T08:37:54.558Z</dcterms:created>
  <dcterms:modified xsi:type="dcterms:W3CDTF">2026-09-25T08:37:54.558Z</dcterms:modified>
</cp:coreProperties>
</file>

<file path=docProps/custom.xml><?xml version="1.0" encoding="utf-8"?>
<Properties xmlns="http://schemas.openxmlformats.org/officeDocument/2006/custom-properties" xmlns:vt="http://schemas.openxmlformats.org/officeDocument/2006/docPropsVTypes"/>
</file>