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30 сентября 2015 года № 59/6</w:t>
      </w:r>
    </w:p>
    <w:p>
      <w:pPr>
        <w:spacing w:after="120"/>
        <w:jc w:val="both"/>
      </w:pPr>
      <w:r>
        <w:rPr>
          <w:rFonts w:ascii="Arial" w:cs="Arial" w:eastAsia="Arial" w:hAnsi="Arial"/>
          <w:sz w:val="28"/>
          <w:szCs w:val="28"/>
        </w:rPr>
        <w:t xml:space="preserve">О внесении изменений и дополнений в постановление Правления Национального банка Кыргызской Республики "Об утверждении "Правил осуществления денежных переводов по системам денежных переводов в Кыргызской Республике" от 15 июля 2009 года № 30/6</w:t>
      </w:r>
    </w:p>
    <w:p>
      <w:pPr>
        <w:spacing w:after="120"/>
        <w:jc w:val="both"/>
      </w:pPr>
      <w:r>
        <w:rPr>
          <w:rFonts w:ascii="Arial" w:cs="Arial" w:eastAsia="Arial" w:hAnsi="Arial"/>
          <w:sz w:val="24"/>
          <w:szCs w:val="24"/>
        </w:rPr>
        <w:t xml:space="preserve">В соответствии со статьями </w:t>
      </w:r>
      <w:hyperlink w:history="1" r:id="rId07cvgfwmef9sstq5xrc2q">
        <w:r>
          <w:rPr>
            <w:rFonts w:ascii="Arial" w:cs="Arial" w:eastAsia="Arial" w:hAnsi="Arial"/>
            <w:color w:val="1D4ED8"/>
            <w:sz w:val="24"/>
            <w:szCs w:val="24"/>
            <w:u w:val="single"/>
          </w:rPr>
          <w:t xml:space="preserve">7</w:t>
        </w:r>
      </w:hyperlink>
      <w:r>
        <w:rPr>
          <w:rFonts w:ascii="Arial" w:cs="Arial" w:eastAsia="Arial" w:hAnsi="Arial"/>
          <w:sz w:val="24"/>
          <w:szCs w:val="24"/>
        </w:rPr>
        <w:t xml:space="preserve"> и </w:t>
      </w:r>
      <w:hyperlink w:history="1" r:id="rId2wopd6m2rxgwers5v8cyr">
        <w:r>
          <w:rPr>
            <w:rFonts w:ascii="Arial" w:cs="Arial" w:eastAsia="Arial" w:hAnsi="Arial"/>
            <w:color w:val="1D4ED8"/>
            <w:sz w:val="24"/>
            <w:szCs w:val="24"/>
            <w:u w:val="single"/>
          </w:rPr>
          <w:t xml:space="preserve">43</w:t>
        </w:r>
      </w:hyperlink>
      <w:r>
        <w:rPr>
          <w:rFonts w:ascii="Arial" w:cs="Arial" w:eastAsia="Arial" w:hAnsi="Arial"/>
          <w:sz w:val="24"/>
          <w:szCs w:val="24"/>
        </w:rPr>
        <w:t xml:space="preserve"> Закона Кыргызской Республики "О Национальном банке Кыргызской Республики", </w:t>
      </w:r>
      <w:hyperlink w:history="1" r:id="rIdhp51xkego_ruzca6muss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платежной системе Кыргызской Республики" Правление Национального банка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и дополнения в </w:t>
      </w:r>
      <w:hyperlink w:history="1" r:id="rIdo4_djz1en_ljo6ytian1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lfomawpdsjtyrwvpiazkh">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осуществления денежных переводов по системам денежных переводов в Кыргызской Республике" от 15 июля 2009 года № 30/6 (</w:t>
      </w:r>
      <w:hyperlink w:history="1" r:id="rId27hpqybguxuh7dsfwab6y">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4. Управлению платежных систем довести настоящее постановление до сведения коммерческих банков Кыргызской Республики.</w:t>
      </w:r>
    </w:p>
    <w:p>
      <w:pPr>
        <w:spacing w:after="120"/>
        <w:jc w:val="both"/>
      </w:pPr>
      <w:r>
        <w:rPr>
          <w:rFonts w:ascii="Arial" w:cs="Arial" w:eastAsia="Arial" w:hAnsi="Arial"/>
          <w:sz w:val="24"/>
          <w:szCs w:val="24"/>
        </w:rPr>
        <w:t xml:space="preserve">5. Контроль исполнения настоящего постановления возложить на заместителя Председателя Национального банка Кыргызской Республики Б.Ж.Жеенбаеву.</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Абдыгулов</w:t>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ИЗМЕНЕНИЯ И ДОПОЛНЕНИЯ
 в постановление Правления Национального банка Кыргызской Республики "Об утверждении "Правил осуществления денежных переводов по системам денежных переводов в Кыргызской Республике" от 15 июля 2009 года № 30/6</w:t>
      </w:r>
    </w:p>
    <w:p>
      <w:pPr>
        <w:spacing w:after="60"/>
        <w:ind w:firstLine="567"/>
        <w:jc w:val="both"/>
      </w:pPr>
      <w:r>
        <w:rPr>
          <w:rFonts w:ascii="Arial" w:cs="Arial" w:eastAsia="Arial" w:hAnsi="Arial"/>
          <w:sz w:val="24"/>
          <w:szCs w:val="24"/>
        </w:rPr>
        <w:t xml:space="preserve">Внести в </w:t>
      </w:r>
      <w:hyperlink w:history="1" r:id="rIdjppdv2ey1c6kq6di7yef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ntb6rkjfmr-3uwuhgb-mr">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осуществления денежных переводов по системам денежных переводов в Кыргызской Республике" от 15 июля 2009 года № 30/6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vgzztfreo15joc0zhw79p">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осуществления денежных переводов по системам денежных переводов в Кыргызской Республике, утвержденных вышеуказанным </w:t>
      </w:r>
      <w:hyperlink w:history="1" r:id="rIdgjlnrckcdnsdguvsigll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Настоящие </w:t>
      </w:r>
      <w:hyperlink w:history="1" r:id="rIdova2zp_x9ipghuu7g9ryv">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разработаны в соответствии с Законами Кыргызской Республики "</w:t>
      </w:r>
      <w:hyperlink w:history="1" r:id="rIdusk1ge50uukn5we76rxw1">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bqx5qvp_cge9uuyw3zfo2">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ykcm67al72obiumndztm6">
        <w:r>
          <w:rPr>
            <w:rFonts w:ascii="Arial" w:cs="Arial" w:eastAsia="Arial" w:hAnsi="Arial"/>
            <w:color w:val="1D4ED8"/>
            <w:sz w:val="24"/>
            <w:szCs w:val="24"/>
            <w:u w:val="single"/>
          </w:rPr>
          <w:t xml:space="preserve">Об электронном документе и электронной цифровой подписи"</w:t>
        </w:r>
      </w:hyperlink>
      <w:r>
        <w:rPr>
          <w:rFonts w:ascii="Arial" w:cs="Arial" w:eastAsia="Arial" w:hAnsi="Arial"/>
          <w:sz w:val="24"/>
          <w:szCs w:val="24"/>
        </w:rPr>
        <w:t xml:space="preserve">, "</w:t>
      </w:r>
      <w:hyperlink w:history="1" r:id="rIdo7a_xzxc8_uhv3jn0kjez">
        <w:r>
          <w:rPr>
            <w:rFonts w:ascii="Arial" w:cs="Arial" w:eastAsia="Arial" w:hAnsi="Arial"/>
            <w:color w:val="1D4ED8"/>
            <w:sz w:val="24"/>
            <w:szCs w:val="24"/>
            <w:u w:val="single"/>
          </w:rPr>
          <w:t xml:space="preserve">Об операциях в иностранной валюте</w:t>
        </w:r>
      </w:hyperlink>
      <w:r>
        <w:rPr>
          <w:rFonts w:ascii="Arial" w:cs="Arial" w:eastAsia="Arial" w:hAnsi="Arial"/>
          <w:sz w:val="24"/>
          <w:szCs w:val="24"/>
        </w:rPr>
        <w:t xml:space="preserve">", "</w:t>
      </w:r>
      <w:hyperlink w:history="1" r:id="rIdknbq-g7jflga-8tts1odw">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 "</w:t>
      </w:r>
      <w:hyperlink w:history="1" r:id="rIdxlgzq3vq66hszd54u3za6">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Перевод денежных средств без открытия банковского счета (далее - денежный перевод) на территории Кыргызской Республики осуществляется физическими лицами, резидентами и нерезидентами Кыргызской Республики в национальной или иностранной валютах через коммерческие банки (далее - банки), лицензируемые и регулируемые Национальным банком Кыргызской Республики (далее - Национальный банк) с использованием специализированных систем денежных переводов (локальные, международные системы) либо по прямым корреспондентским отношениям банков (международные/трансграничные денежные переводы).</w:t>
      </w:r>
    </w:p>
    <w:p>
      <w:pPr>
        <w:spacing w:after="60"/>
        <w:ind w:firstLine="567"/>
        <w:jc w:val="both"/>
      </w:pPr>
      <w:r>
        <w:rPr>
          <w:rFonts w:ascii="Arial" w:cs="Arial" w:eastAsia="Arial" w:hAnsi="Arial"/>
          <w:sz w:val="24"/>
          <w:szCs w:val="24"/>
        </w:rPr>
        <w:t xml:space="preserve">Перевод денежных средств по системам денежных переводов в кыргызских сомах (национальной валюте Кыргызской Республики) внутри Кыргызской Республики должен осуществляться только с использованием локальных систем денежных переводов.";</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Банки Кыргызской Республики могут стать участниками международных систем денежных переводов путем подписания соответствующего договора с оператором системы денежных переводов, соблюдения правил системы и законодательства Кыргызской Республики. Оператором международной системы денежных переводов является юридическое лицо, резидент или нерезидент Кыргызской Республики, действующее на основании разрешительных документов для осуществления данного вида деятельности, выданных уполномоченным органом по финансовому надзору страны происхождения и зарегистрированному в Национальном банке.";</w:t>
      </w:r>
    </w:p>
    <w:p>
      <w:pPr>
        <w:spacing w:after="60"/>
        <w:ind w:firstLine="567"/>
        <w:jc w:val="both"/>
      </w:pPr>
      <w:r>
        <w:rPr>
          <w:rFonts w:ascii="Arial" w:cs="Arial" w:eastAsia="Arial" w:hAnsi="Arial"/>
          <w:sz w:val="24"/>
          <w:szCs w:val="24"/>
        </w:rPr>
        <w:t xml:space="preserve">- первое предложение пункта 1.6. изложить в следующей редакции:</w:t>
      </w:r>
    </w:p>
    <w:p>
      <w:pPr>
        <w:spacing w:after="60"/>
        <w:ind w:firstLine="567"/>
        <w:jc w:val="both"/>
      </w:pPr>
      <w:r>
        <w:rPr>
          <w:rFonts w:ascii="Arial" w:cs="Arial" w:eastAsia="Arial" w:hAnsi="Arial"/>
          <w:sz w:val="24"/>
          <w:szCs w:val="24"/>
        </w:rPr>
        <w:t xml:space="preserve">"Банк может заключить договор (агентское соглашение) с небанковскими финансово-кредитными учреждениями и небанковскими организациями по предоставлению услуг населению по денежным переводам через системы денежных переводов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пункты 2.1. и 2.2. признать утратившими силу;</w:t>
      </w:r>
    </w:p>
    <w:p>
      <w:pPr>
        <w:spacing w:after="60"/>
        <w:ind w:firstLine="567"/>
        <w:jc w:val="both"/>
      </w:pPr>
      <w:r>
        <w:rPr>
          <w:rFonts w:ascii="Arial" w:cs="Arial" w:eastAsia="Arial" w:hAnsi="Arial"/>
          <w:sz w:val="24"/>
          <w:szCs w:val="24"/>
        </w:rPr>
        <w:t xml:space="preserve">- пункт 2.3. после первого абзаца дополнить абзацами следующего содержания:</w:t>
      </w:r>
    </w:p>
    <w:p>
      <w:pPr>
        <w:spacing w:after="60"/>
        <w:ind w:firstLine="567"/>
        <w:jc w:val="both"/>
      </w:pPr>
      <w:r>
        <w:rPr>
          <w:rFonts w:ascii="Arial" w:cs="Arial" w:eastAsia="Arial" w:hAnsi="Arial"/>
          <w:sz w:val="24"/>
          <w:szCs w:val="24"/>
        </w:rPr>
        <w:t xml:space="preserve">"Получатель денежного перевода на территории Кыргызской Республики по собственному выбору вправе получить денежный перевод в наличной форме через кассу или периферийные устройства (банкомат/терминал) банка, в том числе с применением носителя-идентификатора получателя денежного перевода в системе денежных переводов (если он предусмотрен правилами системы денежных переводов) либо в безналичной форме путем перечисления/зачисления денежных средств на банковский счет, указанный получателем, на банковскую платежную карту, выпущенную банком, и/или на электронный кошелек/электронные деньги.</w:t>
      </w:r>
    </w:p>
    <w:p>
      <w:pPr>
        <w:spacing w:after="60"/>
        <w:ind w:firstLine="567"/>
        <w:jc w:val="both"/>
      </w:pPr>
      <w:r>
        <w:rPr>
          <w:rFonts w:ascii="Arial" w:cs="Arial" w:eastAsia="Arial" w:hAnsi="Arial"/>
          <w:sz w:val="24"/>
          <w:szCs w:val="24"/>
        </w:rPr>
        <w:t xml:space="preserve">Носитель-идентификатор получателя денежного перевода может быть в виде одноразовой карты, не являющейся банковской платежной картой, и предназначается только для получения денежного перевода путем выдачи наличных денежных средств в размере денежного перевода в кассах или периферийных устройствах (банкомат/терминал) всех банков, подключенных к данной системе. Срок действия данной карты (носителя-идентификатора) не должен превышать 30 дней с момента отправки денежного перевода. Ответственность за перевод денежных средств по карте (носитель-идентификатор) несет платежная система. Осуществлять с помощью носителя-идентификатора какие-либо другие банковские операции запрещается.</w:t>
      </w:r>
    </w:p>
    <w:p>
      <w:pPr>
        <w:spacing w:after="60"/>
        <w:ind w:firstLine="567"/>
        <w:jc w:val="both"/>
      </w:pPr>
      <w:r>
        <w:rPr>
          <w:rFonts w:ascii="Arial" w:cs="Arial" w:eastAsia="Arial" w:hAnsi="Arial"/>
          <w:sz w:val="24"/>
          <w:szCs w:val="24"/>
        </w:rPr>
        <w:t xml:space="preserve">В случае, если правилами системы денежных переводов предусмотрено получение денежного перевода частями, получатель денежного перевода вправе получить часть суммы денежного перевода в наличной форме с применением носителя-идентификатора, а остаток денежных средств вправе направить для зачисления на банковский счет, указанный получателем, на карту, выпущенную банком, и/или на электронный кошелек.</w:t>
      </w:r>
    </w:p>
    <w:p>
      <w:pPr>
        <w:spacing w:after="60"/>
        <w:ind w:firstLine="567"/>
        <w:jc w:val="both"/>
      </w:pPr>
      <w:r>
        <w:rPr>
          <w:rFonts w:ascii="Arial" w:cs="Arial" w:eastAsia="Arial" w:hAnsi="Arial"/>
          <w:sz w:val="24"/>
          <w:szCs w:val="24"/>
        </w:rPr>
        <w:t xml:space="preserve">При получении денежного перевода с применением носителя-идентификатора через банкомат каждая операция получения наличных денежных средств не должна превышать 250 (двести пятьдесят) расчетных показателей в национальной валюте или ее эквиваленте в иностранной валюте.</w:t>
      </w:r>
    </w:p>
    <w:p>
      <w:pPr>
        <w:spacing w:after="60"/>
        <w:ind w:firstLine="567"/>
        <w:jc w:val="both"/>
      </w:pPr>
      <w:r>
        <w:rPr>
          <w:rFonts w:ascii="Arial" w:cs="Arial" w:eastAsia="Arial" w:hAnsi="Arial"/>
          <w:sz w:val="24"/>
          <w:szCs w:val="24"/>
        </w:rPr>
        <w:t xml:space="preserve">Условия использования носителя-идентификатора получателя денежного перевода (требования по идентификации, лимитам и т.д.) должны быть установлены правилами системы, отражаться в двусторонних договорах между участником и оператором системы денежных переводов и соответствовать законодательству Кыргызской Республики.</w:t>
      </w:r>
    </w:p>
    <w:p>
      <w:pPr>
        <w:spacing w:after="60"/>
        <w:ind w:firstLine="567"/>
        <w:jc w:val="both"/>
      </w:pPr>
      <w:r>
        <w:rPr>
          <w:rFonts w:ascii="Arial" w:cs="Arial" w:eastAsia="Arial" w:hAnsi="Arial"/>
          <w:sz w:val="24"/>
          <w:szCs w:val="24"/>
        </w:rPr>
        <w:t xml:space="preserve">Перевод денежных средств по системам денежных переводов считается окончательным:</w:t>
      </w:r>
    </w:p>
    <w:p>
      <w:pPr>
        <w:spacing w:after="60"/>
        <w:ind w:firstLine="567"/>
        <w:jc w:val="both"/>
      </w:pPr>
      <w:r>
        <w:rPr>
          <w:rFonts w:ascii="Arial" w:cs="Arial" w:eastAsia="Arial" w:hAnsi="Arial"/>
          <w:sz w:val="24"/>
          <w:szCs w:val="24"/>
        </w:rPr>
        <w:t xml:space="preserve">1) для отправителя - в момент получения подтверждения о приеме к исполнению распоряжения на осуществление денежного перевода;</w:t>
      </w:r>
    </w:p>
    <w:p>
      <w:pPr>
        <w:spacing w:after="60"/>
        <w:ind w:firstLine="567"/>
        <w:jc w:val="both"/>
      </w:pPr>
      <w:r>
        <w:rPr>
          <w:rFonts w:ascii="Arial" w:cs="Arial" w:eastAsia="Arial" w:hAnsi="Arial"/>
          <w:sz w:val="24"/>
          <w:szCs w:val="24"/>
        </w:rPr>
        <w:t xml:space="preserve">2) для получателя - в момент получения им наличных денежных средств в кассе или периферийном устройстве (банкомат/терминал) банка или перечисления/зачисления денежных средств на банковский счет, указанный получателем, на банковскую платежную карту, выпущенную банком, и/или на электронный кошелек/электронные деньги.";</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Оператор системы денежных переводов (далее - оператор) - юридическое лицо, резидент или нерезидент Кыргызской Республики, имеющий соответствующие разрешительные документы уполномоченного органа по финансовому надзору страны происхождения (лицензия, регистрационный сертификат и т.п.), регистрацию в Национальном банке и обеспечивающий функционирование системы денежных переводов. Для развития инфраструктуры и пунктов доступа к системе денежных переводов оператор заключает договор с участниками, согласно которому оператор и участники обязуются осуществлять свою деятельность по предоставлению услуг перевода денежных средств без открытия банковского счета в соответствии с правилами системы и законодательством Кыргызской Республики.";</w:t>
      </w:r>
    </w:p>
    <w:p>
      <w:pPr>
        <w:spacing w:after="60"/>
        <w:ind w:firstLine="567"/>
        <w:jc w:val="both"/>
      </w:pPr>
      <w:r>
        <w:rPr>
          <w:rFonts w:ascii="Arial" w:cs="Arial" w:eastAsia="Arial" w:hAnsi="Arial"/>
          <w:sz w:val="24"/>
          <w:szCs w:val="24"/>
        </w:rPr>
        <w:t xml:space="preserve">- пункт 2.7. изложить в следующей редакции:</w:t>
      </w:r>
    </w:p>
    <w:p>
      <w:pPr>
        <w:spacing w:after="60"/>
        <w:ind w:firstLine="567"/>
        <w:jc w:val="both"/>
      </w:pPr>
      <w:r>
        <w:rPr>
          <w:rFonts w:ascii="Arial" w:cs="Arial" w:eastAsia="Arial" w:hAnsi="Arial"/>
          <w:sz w:val="24"/>
          <w:szCs w:val="24"/>
        </w:rPr>
        <w:t xml:space="preserve">"2.7. Система денежных переводов - тип платежной системы по принятию участником платежной системы денежных средств от населения с тем условием, что эти денежные средства будут выплачены адресату. По системе денежных переводов осуществляются денежные переводы как внутри страны (локальные), так и с пересечением государственной границы Кыргызской Республики (международные, трансграничные). Каждому денежному переводу в системе присваивается уникальный идентификационный номер. Система должна обеспечивать участникам ведение учета по каждому денежному переводу с идентификацией отправителей и получателей денежных переводов.";</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Оператор (резидент или нерезидент Кыргызской Республики) для оказания услуг по системам денежных переводов на территории Кыргызской Республики должен пройти регистрацию в Национальном банке. Деятельность операторов платежных систем на территории Кыргызской Республики без наличия регистрации в Национальном банке запрещается.</w:t>
      </w:r>
    </w:p>
    <w:p>
      <w:pPr>
        <w:spacing w:after="60"/>
        <w:ind w:firstLine="567"/>
        <w:jc w:val="both"/>
      </w:pPr>
      <w:r>
        <w:rPr>
          <w:rFonts w:ascii="Arial" w:cs="Arial" w:eastAsia="Arial" w:hAnsi="Arial"/>
          <w:sz w:val="24"/>
          <w:szCs w:val="24"/>
        </w:rPr>
        <w:t xml:space="preserve">Для прохождения регистрации оператор должен предоставить в Национальный банк следующие подлинные документы или заверенные надлежащим образом их копии:</w:t>
      </w:r>
    </w:p>
    <w:p>
      <w:pPr>
        <w:spacing w:after="60"/>
        <w:ind w:firstLine="567"/>
        <w:jc w:val="both"/>
      </w:pPr>
      <w:r>
        <w:rPr>
          <w:rFonts w:ascii="Arial" w:cs="Arial" w:eastAsia="Arial" w:hAnsi="Arial"/>
          <w:sz w:val="24"/>
          <w:szCs w:val="24"/>
        </w:rPr>
        <w:t xml:space="preserve">- письмо-заявление о прохождении регистрации для оказания услуг по системам денежных переводов с указанием:</w:t>
      </w:r>
    </w:p>
    <w:p>
      <w:pPr>
        <w:spacing w:after="60"/>
        <w:ind w:firstLine="567"/>
        <w:jc w:val="both"/>
      </w:pPr>
      <w:r>
        <w:rPr>
          <w:rFonts w:ascii="Arial" w:cs="Arial" w:eastAsia="Arial" w:hAnsi="Arial"/>
          <w:sz w:val="24"/>
          <w:szCs w:val="24"/>
        </w:rPr>
        <w:t xml:space="preserve">названия системы денежных переводов;</w:t>
      </w:r>
    </w:p>
    <w:p>
      <w:pPr>
        <w:spacing w:after="60"/>
        <w:ind w:firstLine="567"/>
        <w:jc w:val="both"/>
      </w:pPr>
      <w:r>
        <w:rPr>
          <w:rFonts w:ascii="Arial" w:cs="Arial" w:eastAsia="Arial" w:hAnsi="Arial"/>
          <w:sz w:val="24"/>
          <w:szCs w:val="24"/>
        </w:rPr>
        <w:t xml:space="preserve">названия оператора системы денежных переводов и страны происхождения;</w:t>
      </w:r>
    </w:p>
    <w:p>
      <w:pPr>
        <w:spacing w:after="60"/>
        <w:ind w:firstLine="567"/>
        <w:jc w:val="both"/>
      </w:pPr>
      <w:r>
        <w:rPr>
          <w:rFonts w:ascii="Arial" w:cs="Arial" w:eastAsia="Arial" w:hAnsi="Arial"/>
          <w:sz w:val="24"/>
          <w:szCs w:val="24"/>
        </w:rPr>
        <w:t xml:space="preserve">сведений об адресе (месте нахождения) оператора;</w:t>
      </w:r>
    </w:p>
    <w:p>
      <w:pPr>
        <w:spacing w:after="60"/>
        <w:ind w:firstLine="567"/>
        <w:jc w:val="both"/>
      </w:pPr>
      <w:r>
        <w:rPr>
          <w:rFonts w:ascii="Arial" w:cs="Arial" w:eastAsia="Arial" w:hAnsi="Arial"/>
          <w:sz w:val="24"/>
          <w:szCs w:val="24"/>
        </w:rPr>
        <w:t xml:space="preserve">названия расчетного банка оператора, если оператор является не кредитной организацией;</w:t>
      </w:r>
    </w:p>
    <w:p>
      <w:pPr>
        <w:spacing w:after="60"/>
        <w:ind w:firstLine="567"/>
        <w:jc w:val="both"/>
      </w:pPr>
      <w:r>
        <w:rPr>
          <w:rFonts w:ascii="Arial" w:cs="Arial" w:eastAsia="Arial" w:hAnsi="Arial"/>
          <w:sz w:val="24"/>
          <w:szCs w:val="24"/>
        </w:rPr>
        <w:t xml:space="preserve">- свидетельство о государственной регистрации юридического лица, выданное уполномоченным органом по регистрации юридических лиц страны происхождения;</w:t>
      </w:r>
    </w:p>
    <w:p>
      <w:pPr>
        <w:spacing w:after="60"/>
        <w:ind w:firstLine="567"/>
        <w:jc w:val="both"/>
      </w:pPr>
      <w:r>
        <w:rPr>
          <w:rFonts w:ascii="Arial" w:cs="Arial" w:eastAsia="Arial" w:hAnsi="Arial"/>
          <w:sz w:val="24"/>
          <w:szCs w:val="24"/>
        </w:rPr>
        <w:t xml:space="preserve">- свидетельство о постановке на учет в налоговом органе страны происхождения;</w:t>
      </w:r>
    </w:p>
    <w:p>
      <w:pPr>
        <w:spacing w:after="60"/>
        <w:ind w:firstLine="567"/>
        <w:jc w:val="both"/>
      </w:pPr>
      <w:r>
        <w:rPr>
          <w:rFonts w:ascii="Arial" w:cs="Arial" w:eastAsia="Arial" w:hAnsi="Arial"/>
          <w:sz w:val="24"/>
          <w:szCs w:val="24"/>
        </w:rPr>
        <w:t xml:space="preserve">- свидетельство о регистрации оператора платежной системы, лицензия/сертификат на право осуществления денежных переводов, выданные уполномоченным органом по финансовому надзору страны происхождения;</w:t>
      </w:r>
    </w:p>
    <w:p>
      <w:pPr>
        <w:spacing w:after="60"/>
        <w:ind w:firstLine="567"/>
        <w:jc w:val="both"/>
      </w:pPr>
      <w:r>
        <w:rPr>
          <w:rFonts w:ascii="Arial" w:cs="Arial" w:eastAsia="Arial" w:hAnsi="Arial"/>
          <w:sz w:val="24"/>
          <w:szCs w:val="24"/>
        </w:rPr>
        <w:t xml:space="preserve">- правила системы, утвержденные учредителями систем денежных переводов;</w:t>
      </w:r>
    </w:p>
    <w:p>
      <w:pPr>
        <w:spacing w:after="60"/>
        <w:ind w:firstLine="567"/>
        <w:jc w:val="both"/>
      </w:pPr>
      <w:r>
        <w:rPr>
          <w:rFonts w:ascii="Arial" w:cs="Arial" w:eastAsia="Arial" w:hAnsi="Arial"/>
          <w:sz w:val="24"/>
          <w:szCs w:val="24"/>
        </w:rPr>
        <w:t xml:space="preserve">- типовой договор с участниками системы, при наличии таковых.</w:t>
      </w:r>
    </w:p>
    <w:p>
      <w:pPr>
        <w:spacing w:after="60"/>
        <w:ind w:firstLine="567"/>
        <w:jc w:val="both"/>
      </w:pPr>
      <w:r>
        <w:rPr>
          <w:rFonts w:ascii="Arial" w:cs="Arial" w:eastAsia="Arial" w:hAnsi="Arial"/>
          <w:sz w:val="24"/>
          <w:szCs w:val="24"/>
        </w:rPr>
        <w:t xml:space="preserve">Если система денежных переводов принадлежит банку, в Национальный банк дополнительно предоставляются надлежащим образом заверенные копии следующих документов:</w:t>
      </w:r>
    </w:p>
    <w:p>
      <w:pPr>
        <w:spacing w:after="60"/>
        <w:ind w:firstLine="567"/>
        <w:jc w:val="both"/>
      </w:pPr>
      <w:r>
        <w:rPr>
          <w:rFonts w:ascii="Arial" w:cs="Arial" w:eastAsia="Arial" w:hAnsi="Arial"/>
          <w:sz w:val="24"/>
          <w:szCs w:val="24"/>
        </w:rPr>
        <w:t xml:space="preserve">- лицензия на осуществление банковских операций, выданная центральным (национальным) банком страны происхождения;</w:t>
      </w:r>
    </w:p>
    <w:p>
      <w:pPr>
        <w:spacing w:after="60"/>
        <w:ind w:firstLine="567"/>
        <w:jc w:val="both"/>
      </w:pPr>
      <w:r>
        <w:rPr>
          <w:rFonts w:ascii="Arial" w:cs="Arial" w:eastAsia="Arial" w:hAnsi="Arial"/>
          <w:sz w:val="24"/>
          <w:szCs w:val="24"/>
        </w:rPr>
        <w:t xml:space="preserve">- свидетельство о государственной регистрации юридического лица, выданное уполномоченным органом по регистрации юридических лиц страны происхождения;</w:t>
      </w:r>
    </w:p>
    <w:p>
      <w:pPr>
        <w:spacing w:after="60"/>
        <w:ind w:firstLine="567"/>
        <w:jc w:val="both"/>
      </w:pPr>
      <w:r>
        <w:rPr>
          <w:rFonts w:ascii="Arial" w:cs="Arial" w:eastAsia="Arial" w:hAnsi="Arial"/>
          <w:sz w:val="24"/>
          <w:szCs w:val="24"/>
        </w:rPr>
        <w:t xml:space="preserve">- свидетельство о постановке на учет в налоговом органе страны происхождения.</w:t>
      </w:r>
    </w:p>
    <w:p>
      <w:pPr>
        <w:spacing w:after="60"/>
        <w:ind w:firstLine="567"/>
        <w:jc w:val="both"/>
      </w:pPr>
      <w:r>
        <w:rPr>
          <w:rFonts w:ascii="Arial" w:cs="Arial" w:eastAsia="Arial" w:hAnsi="Arial"/>
          <w:sz w:val="24"/>
          <w:szCs w:val="24"/>
        </w:rPr>
        <w:t xml:space="preserve">Оригинал документа, содержащий более одного листа, должен быть описан полистно, прошит, пронумерован, подписан и заверен надлежащим образом. Документы, представленные оператором системы денежных переводов - нерезидентом, должны быть легализованы в порядке, установленном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По требованию Национального банка документы должны предоставляться в электронной форме.</w:t>
      </w:r>
    </w:p>
    <w:p>
      <w:pPr>
        <w:spacing w:after="60"/>
        <w:ind w:firstLine="567"/>
        <w:jc w:val="both"/>
      </w:pPr>
      <w:r>
        <w:rPr>
          <w:rFonts w:ascii="Arial" w:cs="Arial" w:eastAsia="Arial" w:hAnsi="Arial"/>
          <w:sz w:val="24"/>
          <w:szCs w:val="24"/>
        </w:rPr>
        <w:t xml:space="preserve">В срок, не превышающий 15 календарных дней со дня поступления в Национальный банк от оператора заявления о регистрации и документов для прохождения регистрации, Национальный банк принимает решение о регистрации данного оператора платежной системы или об отказе в регистрации. В срок рассмотрения документов не входит время, затраченное оператором на доработку документов. Если предоставленные документы не отвечают требованиям, предъявляемым Национальным банком, отсчет срока рассмотрения документов начинается с даты получения Национальным банком документов, удовлетворяющих предъявляемым требованиям.</w:t>
      </w:r>
    </w:p>
    <w:p>
      <w:pPr>
        <w:spacing w:after="60"/>
        <w:ind w:firstLine="567"/>
        <w:jc w:val="both"/>
      </w:pPr>
      <w:r>
        <w:rPr>
          <w:rFonts w:ascii="Arial" w:cs="Arial" w:eastAsia="Arial" w:hAnsi="Arial"/>
          <w:sz w:val="24"/>
          <w:szCs w:val="24"/>
        </w:rPr>
        <w:t xml:space="preserve">При принятии решения о регистрации Национальный банк присваивает оператору системы денежных переводов регистрационный номер, включает информацию о нем в реестр операторов, оказывающих услуги по системам денежных переводов на территории Кыргызской Республики, и в срок не позднее 7 календарных дней с даты принятия решения направляет оператору письмо о прохождении регистрации. Порядок ведения реестра операторов систем денежных переводов устанавливается Национальным банком.</w:t>
      </w:r>
    </w:p>
    <w:p>
      <w:pPr>
        <w:spacing w:after="60"/>
        <w:ind w:firstLine="567"/>
        <w:jc w:val="both"/>
      </w:pPr>
      <w:r>
        <w:rPr>
          <w:rFonts w:ascii="Arial" w:cs="Arial" w:eastAsia="Arial" w:hAnsi="Arial"/>
          <w:sz w:val="24"/>
          <w:szCs w:val="24"/>
        </w:rPr>
        <w:t xml:space="preserve">В случае несоответствия документов установленным требованиям и/или при предоставлении неполного пакета документов, они возвращаются на доработку. Оператор системы денежных переводов в срок не более 10 календарных дней должен предоставить в Национальный банк документы, доработанные с учетом замечаний. При предоставлении документов, не соответствующих требованиям настоящих Правил или не в полном объеме более двух раз, Национальный банк вправе отказать оператору системы денежных переводов в регистрации.</w:t>
      </w:r>
    </w:p>
    <w:p>
      <w:pPr>
        <w:spacing w:after="60"/>
        <w:ind w:firstLine="567"/>
        <w:jc w:val="both"/>
      </w:pPr>
      <w:r>
        <w:rPr>
          <w:rFonts w:ascii="Arial" w:cs="Arial" w:eastAsia="Arial" w:hAnsi="Arial"/>
          <w:sz w:val="24"/>
          <w:szCs w:val="24"/>
        </w:rPr>
        <w:t xml:space="preserve">Оператор системы денежных переводов обязан уведомить в письменной форме Национальный банк об изменении любых сведений, указанных при его регистрации в течение 3 рабочих дней с момента наступления изменений. Национальный банк на основании предоставленной информации в течение 3 рабочих дней вносит информацию в реестр операторов систем денежных переводов.</w:t>
      </w:r>
    </w:p>
    <w:p>
      <w:pPr>
        <w:spacing w:after="60"/>
        <w:ind w:firstLine="567"/>
        <w:jc w:val="both"/>
      </w:pPr>
      <w:r>
        <w:rPr>
          <w:rFonts w:ascii="Arial" w:cs="Arial" w:eastAsia="Arial" w:hAnsi="Arial"/>
          <w:sz w:val="24"/>
          <w:szCs w:val="24"/>
        </w:rPr>
        <w:t xml:space="preserve">Оператор системы денежных переводов на этапе внедрения новых сервисов/продуктов/услуг (совершенствования) системы на территории Кыргызской Республики предварительно должен информировать Национальный банк и направить уведомление с приложением детальной информации, описывающей разрабатываемый сервис/продукт/услуги, предполагаемые изменения/дополнения в системе и получить разрешение Национального банка на использование новых сервисов/продуктов/услуг (совершенствования) системы на территории Кыргызской Республики.</w:t>
      </w:r>
    </w:p>
    <w:p>
      <w:pPr>
        <w:spacing w:after="60"/>
        <w:ind w:firstLine="567"/>
        <w:jc w:val="both"/>
      </w:pPr>
      <w:r>
        <w:rPr>
          <w:rFonts w:ascii="Arial" w:cs="Arial" w:eastAsia="Arial" w:hAnsi="Arial"/>
          <w:sz w:val="24"/>
          <w:szCs w:val="24"/>
        </w:rPr>
        <w:t xml:space="preserve">Документы, предоставленные операторами системы денежных переводов в Национальный банк, не возвращаются.";</w:t>
      </w:r>
    </w:p>
    <w:p>
      <w:pPr>
        <w:spacing w:after="60"/>
        <w:ind w:firstLine="567"/>
        <w:jc w:val="both"/>
      </w:pPr>
      <w:r>
        <w:rPr>
          <w:rFonts w:ascii="Arial" w:cs="Arial" w:eastAsia="Arial" w:hAnsi="Arial"/>
          <w:sz w:val="24"/>
          <w:szCs w:val="24"/>
        </w:rPr>
        <w:t xml:space="preserve">- пункт 3.7. изложить в следующей редакции:</w:t>
      </w:r>
    </w:p>
    <w:p>
      <w:pPr>
        <w:spacing w:after="60"/>
        <w:ind w:firstLine="567"/>
        <w:jc w:val="both"/>
      </w:pPr>
      <w:r>
        <w:rPr>
          <w:rFonts w:ascii="Arial" w:cs="Arial" w:eastAsia="Arial" w:hAnsi="Arial"/>
          <w:sz w:val="24"/>
          <w:szCs w:val="24"/>
        </w:rPr>
        <w:t xml:space="preserve">"3.7. Оператор, кроме оператора локальных систем денежных переводов, в целях обеспечения гарантии финансовых обязательств перед участником платежной системы, должен обеспечить выполнение как минимум одного из следующих условий:</w:t>
      </w:r>
    </w:p>
    <w:p>
      <w:pPr>
        <w:spacing w:after="60"/>
        <w:ind w:firstLine="567"/>
        <w:jc w:val="both"/>
      </w:pPr>
      <w:r>
        <w:rPr>
          <w:rFonts w:ascii="Arial" w:cs="Arial" w:eastAsia="Arial" w:hAnsi="Arial"/>
          <w:sz w:val="24"/>
          <w:szCs w:val="24"/>
        </w:rPr>
        <w:t xml:space="preserve">1) разместить на указанном банком-участником корреспондентском счете обязательный страховой депозит в объеме, покрывающем средний ежедневный оборот по всем производимым операциям (за месяц/квартал/год по согласованию). В случае неисполнения или ненадлежащего исполнения обязательств оператором средства страхового депозита используются участником для удовлетворения требований по таким обязательствам. В случае прекращения договора по предоставлению услуг перевода денежных средств без открытия счета по инициативе оператора или участника средства страхового депозита возвращаются оператору в порядке и сроки, предусмотренные договорными отношениями;</w:t>
      </w:r>
    </w:p>
    <w:p>
      <w:pPr>
        <w:spacing w:after="60"/>
        <w:ind w:firstLine="567"/>
        <w:jc w:val="both"/>
      </w:pPr>
      <w:r>
        <w:rPr>
          <w:rFonts w:ascii="Arial" w:cs="Arial" w:eastAsia="Arial" w:hAnsi="Arial"/>
          <w:sz w:val="24"/>
          <w:szCs w:val="24"/>
        </w:rPr>
        <w:t xml:space="preserve">2) предоставить гарантию от банка, который имеет международный кредитный рейтинг инвестиционного уровня - не ниже категории "ВВВ", присвоенный рейтинговым агентством Standard &amp; Poor's (США), или не ниже категории "Baa" по Moody's Investors Service (США) или не ниже категории "BBB" по Fitch-IBCA (США), либо имеет рейтинг национального рейтингового агентства, равнозначный рейтингу перечисленных международных рейтинговых агентств, которое получило аккредитацию в уполномоченных органах страны происхождения банка нерезидента и рейтинг которого признается центральным (национальным) банком страны происхождения.</w:t>
      </w:r>
    </w:p>
    <w:p>
      <w:pPr>
        <w:spacing w:after="60"/>
        <w:ind w:firstLine="567"/>
        <w:jc w:val="both"/>
      </w:pPr>
      <w:r>
        <w:rPr>
          <w:rFonts w:ascii="Arial" w:cs="Arial" w:eastAsia="Arial" w:hAnsi="Arial"/>
          <w:sz w:val="24"/>
          <w:szCs w:val="24"/>
        </w:rPr>
        <w:t xml:space="preserve">Банковская гарантия также может быть предоставлена банком, являющимся оператором системы денежных переводов, который имеет лицензию на проведение банковских операций. При этом банк, предоставляющий гарантию, должен иметь международный кредитный рейтинг инвестиционного уровня - не ниже категории "ВВВ", присвоенный рейтинговым агентством Standard &amp; Poor's (США), или не ниже категории "Baa" по Moody's Investors Service (США) или не ниже категории "BBB" по Fitch-IBCA (США), либо иметь рейтинг национального рейтингового агентства, равнозначный рейтингу перечисленных международных рейтинговых агентств, которое получило аккредитацию в уполномоченных органах страны происхождения организации нерезидента и рейтинг которого признается центральным (национальным) банком страны происхождения. Оператор должен предоставить в Национальный банк документы, подтверждающие наличие кредитных рейтингов банка-гаранта. В случае ухудшения рейтинга (ниже уровня начальной отметки кредитного рейтинга инвестиционного уровня) банка, предоставившего гарантию, гаранта, оператор должен в течение 30 календарных дней произвести замену гарантии либо предоставить обеспечение в рамках подпунктов 1 или 3 настоящего пункта.</w:t>
      </w:r>
    </w:p>
    <w:p>
      <w:pPr>
        <w:spacing w:after="60"/>
        <w:ind w:firstLine="567"/>
        <w:jc w:val="both"/>
      </w:pPr>
      <w:r>
        <w:rPr>
          <w:rFonts w:ascii="Arial" w:cs="Arial" w:eastAsia="Arial" w:hAnsi="Arial"/>
          <w:sz w:val="24"/>
          <w:szCs w:val="24"/>
        </w:rPr>
        <w:t xml:space="preserve">Банк вправе (если банком оценены все сопутствующие риски при работе с оператором) не требовать банковскую гарантию в случае, если оператор платежной системы (или головная компания группы, к которой принадлежит оператор платежной системы, осуществляющая контроль в отношении оператора платежной системы в соответствии с критериями международных стандартов финансовой отчетности) имеет международный кредитный рейтинг инвестиционного уровня - не ниже категории "ВВВ", присвоенный рейтинговым агентством Standard &amp; Poor's (США), или не ниже категории "Baa" по Moody's Investors Service (США) или не ниже категории "BBB" по Fitch-IBCA (США), либо имеет рейтинг национального рейтингового агентства, равнозначный рейтингу перечисленных международных рейтинговых агентств, которое получило аккредитацию в уполномоченных органах страны происхождения организации нерезидента и рейтинг которого признается центральным (национальным) банком страны происхождения. Оператор должен предоставить в Национальный банк документы, подтверждающие наличие кредитных рейтингов соответствующего уровня. В случае ухудшения рейтинга (ниже уровня начальной отметки кредитного рейтинга инвестиционного уровня) оператора платежной системы (или головной компании группы, к которой принадлежит оператор платежной системы, осуществляющей контроль в отношении оператора платежной системы в соответствии с критериями международных стандартов финансовой отчетности), оператор (или головная компания группы, к которой принадлежит оператор платежной системы, осуществляющая контроль в отношении оператора платежной системы в соответствии с критериями международных стандартов финансовой отчетности) должен в течение 30 календарных дней произвести замену гарантии либо предоставить обеспечение в рамках подпунктов 1 или 3 настоящего пункта;</w:t>
      </w:r>
    </w:p>
    <w:p>
      <w:pPr>
        <w:spacing w:after="60"/>
        <w:ind w:firstLine="567"/>
        <w:jc w:val="both"/>
      </w:pPr>
      <w:r>
        <w:rPr>
          <w:rFonts w:ascii="Arial" w:cs="Arial" w:eastAsia="Arial" w:hAnsi="Arial"/>
          <w:sz w:val="24"/>
          <w:szCs w:val="24"/>
        </w:rPr>
        <w:t xml:space="preserve">3) обеспечить страхование денежных переводов, проводимых через свои системы денежных переводов, на территории Кыргызской Республики путем заключения договора страхования, где выгодоприобретателем будет являться банк-участник, со страховыми компаниями Кыргызской Республики, или если иное не предусмотрено банком на взаимовыгодных условиях с оператором в двусторонних договорах. Договор страхования заключается с каждым банком-участником в отдельности и должен предусматривать сумму страховой выплаты выгодоприобретателю, достаточную для покрытия финансовых обязательств оператора системы денежных переводов, при наступлении страхового случая.";</w:t>
      </w:r>
    </w:p>
    <w:p>
      <w:pPr>
        <w:spacing w:after="60"/>
        <w:ind w:firstLine="567"/>
        <w:jc w:val="both"/>
      </w:pPr>
      <w:r>
        <w:rPr>
          <w:rFonts w:ascii="Arial" w:cs="Arial" w:eastAsia="Arial" w:hAnsi="Arial"/>
          <w:sz w:val="24"/>
          <w:szCs w:val="24"/>
        </w:rPr>
        <w:t xml:space="preserve">- пункт 4.11. изложить в следующей редакции:</w:t>
      </w:r>
    </w:p>
    <w:p>
      <w:pPr>
        <w:spacing w:after="60"/>
        <w:ind w:firstLine="567"/>
        <w:jc w:val="both"/>
      </w:pPr>
      <w:r>
        <w:rPr>
          <w:rFonts w:ascii="Arial" w:cs="Arial" w:eastAsia="Arial" w:hAnsi="Arial"/>
          <w:sz w:val="24"/>
          <w:szCs w:val="24"/>
        </w:rPr>
        <w:t xml:space="preserve">"4.11. Участник должен ежеквартально, не позднее 15 числа месяца, следующего за отчетным кварталом, предоставлять в Национальный банк информацию в соответствии с </w:t>
      </w:r>
      <w:hyperlink w:history="1" r:id="rIdts68q5decezq6s_ldbcmm">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и информацию об исполнении пункта 3.7. настоящих Правил в соответствии с </w:t>
      </w:r>
      <w:hyperlink w:history="1" r:id="rIdqwfuuwnhssxlfaqbrohbt">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Если Участник принял от оператора банковскую гарантию в соответствии с подпунктом 2 пункта 3.7. настоящих </w:t>
      </w:r>
      <w:r>
        <w:rPr>
          <w:rFonts w:ascii="Arial" w:cs="Arial" w:eastAsia="Arial" w:hAnsi="Arial"/>
          <w:sz w:val="24"/>
          <w:szCs w:val="24"/>
        </w:rPr>
        <w:t xml:space="preserve">Правил</w:t>
      </w:r>
      <w:r>
        <w:rPr>
          <w:rFonts w:ascii="Arial" w:cs="Arial" w:eastAsia="Arial" w:hAnsi="Arial"/>
          <w:sz w:val="24"/>
          <w:szCs w:val="24"/>
        </w:rPr>
        <w:t xml:space="preserve">, то он должен проводить мониторинг рейтинга банка-гаранта для предотвращения рисков невыполнения финансовых обязательств оператором и ежеквартально, не позднее 15 числа месяца, следующего за отчетным кварталом, предоставлять в Национальный банк информацию о рейтинге банка-гаранта в соответствии с </w:t>
      </w:r>
      <w:hyperlink w:history="1" r:id="rIdyh4ysskujuzinmo_y2xth">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hyperlink w:history="1" r:id="rIdhoh80jvn2_ofsgunbbuwh">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дополнить пунктом 6.6. в следующей редакции:</w:t>
      </w:r>
    </w:p>
    <w:p>
      <w:pPr>
        <w:spacing w:after="60"/>
        <w:ind w:firstLine="567"/>
        <w:jc w:val="both"/>
      </w:pPr>
      <w:r>
        <w:rPr>
          <w:rFonts w:ascii="Arial" w:cs="Arial" w:eastAsia="Arial" w:hAnsi="Arial"/>
          <w:sz w:val="24"/>
          <w:szCs w:val="24"/>
        </w:rPr>
        <w:t xml:space="preserve">"6.6. Оператор по запросу Национального банка должен предоставлять подробную информацию об операции по запрашиваемому денежному переводу, об отправителе и/или получателе денежного перевода (ФИО, год рождения, домашний адрес, паспортные данные либо данные документа, удостоверяющего личность), цель перевода, сумму перевода цифрами с приложением копий всех подтверждающих документов.</w:t>
      </w:r>
    </w:p>
    <w:p>
      <w:pPr>
        <w:spacing w:after="60"/>
        <w:ind w:firstLine="567"/>
        <w:jc w:val="both"/>
      </w:pPr>
      <w:r>
        <w:rPr>
          <w:rFonts w:ascii="Arial" w:cs="Arial" w:eastAsia="Arial" w:hAnsi="Arial"/>
          <w:sz w:val="24"/>
          <w:szCs w:val="24"/>
        </w:rPr>
        <w:t xml:space="preserve">Оператор несет ответственность за действия своих агентов и за окончательность переводов, начиная с момента внесения денежных средств в кассу агента до правомерности его выдачи получателю.";</w:t>
      </w:r>
    </w:p>
    <w:p>
      <w:pPr>
        <w:spacing w:after="120"/>
        <w:ind w:firstLine="567"/>
        <w:jc w:val="both"/>
      </w:pPr>
      <w:r>
        <w:rPr>
          <w:rFonts w:ascii="Arial" w:cs="Arial" w:eastAsia="Arial" w:hAnsi="Arial"/>
          <w:sz w:val="24"/>
          <w:szCs w:val="24"/>
        </w:rPr>
        <w:t xml:space="preserve">- </w:t>
      </w:r>
      <w:hyperlink w:history="1" r:id="rIdj2p5milpavn21orhj9rx6">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дополнить </w:t>
      </w:r>
      <w:hyperlink w:history="1" r:id="rIdahvgzdsyb7uuauqrcdzni">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следующего содержания:</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Приложение 2</w:t>
      </w:r>
      <w:r>
        <w:rPr>
          <w:rFonts w:ascii="Arial" w:cs="Arial" w:eastAsia="Arial" w:hAnsi="Arial"/>
          <w:sz w:val="24"/>
          <w:szCs w:val="24"/>
        </w:rPr>
        <w:t xml:space="preserve"> </w:t>
      </w:r>
      <w:r>
        <w:rPr>
          <w:rFonts w:ascii="Arial" w:cs="Arial" w:eastAsia="Arial" w:hAnsi="Arial"/>
          <w:sz w:val="24"/>
          <w:szCs w:val="24"/>
        </w:rPr>
        <w:t xml:space="preserve">к Правилам осуществления денежных переводов по системам денежных переводов в Кыргызской Республике</w:t>
      </w:r>
    </w:p>
    <w:p>
      <w:pPr>
        <w:spacing w:after="400" w:before="400"/>
        <w:jc w:val="center"/>
      </w:pPr>
      <w:r>
        <w:rPr>
          <w:rFonts w:ascii="Arial" w:cs="Arial" w:eastAsia="Arial" w:hAnsi="Arial"/>
          <w:b/>
          <w:bCs/>
          <w:sz w:val="32"/>
          <w:szCs w:val="32"/>
        </w:rPr>
        <w:t xml:space="preserve">СВЕДЕНИЯ
 об исполнении пункта 3.7. Правил(*)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
        <w:gridCol w:w="721"/>
        <w:gridCol w:w="647"/>
        <w:gridCol w:w="493"/>
        <w:gridCol w:w="607"/>
        <w:gridCol w:w="493"/>
        <w:gridCol w:w="771"/>
        <w:gridCol w:w="525"/>
        <w:gridCol w:w="525"/>
        <w:gridCol w:w="525"/>
        <w:gridCol w:w="525"/>
        <w:gridCol w:w="525"/>
        <w:gridCol w:w="525"/>
        <w:gridCol w:w="525"/>
        <w:gridCol w:w="525"/>
        <w:gridCol w:w="525"/>
        <w:gridCol w:w="576"/>
        <w:gridCol w:w="959"/>
      </w:tblGrid>
      <w:tr>
        <w:tc>
          <w:tcPr>
            <w:tcW w:type="dxa" w:w="1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системы денежных переводов</w:t>
            </w:r>
          </w:p>
        </w:tc>
        <w:tc>
          <w:tcPr>
            <w:tcW w:type="dxa" w:w="6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обеспечения по пункту 3.7.</w:t>
            </w:r>
          </w:p>
        </w:tc>
        <w:tc>
          <w:tcPr>
            <w:tcW w:type="dxa" w:w="4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договора</w:t>
            </w:r>
          </w:p>
        </w:tc>
        <w:tc>
          <w:tcPr>
            <w:tcW w:type="dxa" w:w="6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подписания договора</w:t>
            </w:r>
          </w:p>
        </w:tc>
        <w:tc>
          <w:tcPr>
            <w:tcW w:type="dxa" w:w="4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договора</w:t>
            </w:r>
          </w:p>
        </w:tc>
        <w:tc>
          <w:tcPr>
            <w:tcW w:type="dxa" w:w="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Среднедневной оборот по системе денежных переводов (сумма, валюта)</w:t>
            </w:r>
          </w:p>
        </w:tc>
        <w:tc>
          <w:tcPr>
            <w:tcW w:type="dxa" w:w="472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договора</w:t>
            </w:r>
          </w:p>
        </w:tc>
        <w:tc>
          <w:tcPr>
            <w:tcW w:type="dxa" w:w="5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Кредитный рейтинг оператора системы денежных переводов</w:t>
            </w:r>
          </w:p>
        </w:tc>
        <w:tc>
          <w:tcPr>
            <w:tcW w:type="dxa" w:w="9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Примечание/Прочее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обеспечения (страховой депозит, банковская гарантия, страхование денежных переводов)</w:t>
            </w:r>
          </w:p>
        </w:tc>
        <w:tc>
          <w:tcPr>
            <w:tcW w:type="dxa" w:w="5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(страховой депозит, банковская гарантия, страхование денежных переводов)</w:t>
            </w:r>
          </w:p>
        </w:tc>
        <w:tc>
          <w:tcPr>
            <w:tcW w:type="dxa" w:w="10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размещения страхового депозита</w:t>
            </w:r>
          </w:p>
        </w:tc>
        <w:tc>
          <w:tcPr>
            <w:tcW w:type="dxa" w:w="262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Банковская гарантия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ставка</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срочность</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выдавший гарантию</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гарантии</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гарантии</w:t>
            </w:r>
          </w:p>
        </w:tc>
        <w:tc>
          <w:tcPr>
            <w:tcW w:type="dxa" w:w="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кредитный рейтинг банка, выдавшего гарантию</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Данные должны быть представлены на альбомном листе формата А4.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___________________________________________________________________________________</w:t>
      </w:r>
    </w:p>
    <w:p>
      <w:pPr>
        <w:spacing w:after="120"/>
        <w:jc w:val="center"/>
      </w:pPr>
      <w:r>
        <w:rPr>
          <w:rFonts w:ascii="Arial" w:cs="Arial" w:eastAsia="Arial" w:hAnsi="Arial"/>
          <w:sz w:val="24"/>
          <w:szCs w:val="24"/>
        </w:rPr>
        <w:t xml:space="preserve">указать ФИО ответственного за подготовку сведений, должность, отдел/управление,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управления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___________________________________________________________________________________</w:t>
      </w:r>
    </w:p>
    <w:p>
      <w:pPr>
        <w:spacing w:after="120"/>
        <w:jc w:val="center"/>
      </w:pPr>
      <w:r>
        <w:rPr>
          <w:rFonts w:ascii="Arial" w:cs="Arial" w:eastAsia="Arial" w:hAnsi="Arial"/>
          <w:sz w:val="24"/>
          <w:szCs w:val="24"/>
        </w:rPr>
        <w:t xml:space="preserve">указать ФИО начальника управления, ответственного за подготовку сведений,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___________________________________________________________________________________</w:t>
      </w:r>
    </w:p>
    <w:p>
      <w:pPr>
        <w:spacing w:after="120"/>
        <w:jc w:val="center"/>
      </w:pPr>
      <w:r>
        <w:rPr>
          <w:rFonts w:ascii="Arial" w:cs="Arial" w:eastAsia="Arial" w:hAnsi="Arial"/>
          <w:sz w:val="24"/>
          <w:szCs w:val="24"/>
        </w:rPr>
        <w:t xml:space="preserve">указать ФИО лица, курирующего данный блок,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учреждения, дата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yk4sgjdbuc_5xxo18yes">
      <w:r>
        <w:rPr>
          <w:rFonts w:ascii="Arial" w:cs="Arial" w:eastAsia="Arial" w:hAnsi="Arial"/>
          <w:color w:val="132D3F"/>
          <w:sz w:val="16"/>
          <w:szCs w:val="16"/>
          <w:u w:val="single"/>
        </w:rPr>
        <w:t xml:space="preserve">dalil.kg/document/800711</w:t>
      </w:r>
    </w:hyperlink>
  </w:p>
  <w:p>
    <w:pPr>
      <w:spacing w:after="0" w:before="40"/>
      <w:jc w:val="center"/>
    </w:pPr>
    <w:hyperlink w:history="1" r:id="rIdtkwt_jfckwdfb3mylla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7cvgfwmef9sstq5xrc2q" Type="http://schemas.openxmlformats.org/officeDocument/2006/relationships/hyperlink" Target="https://dalil.kg/document/559#st_7" TargetMode="External"/><Relationship Id="rId2wopd6m2rxgwers5v8cyr" Type="http://schemas.openxmlformats.org/officeDocument/2006/relationships/hyperlink" Target="https://dalil.kg/document/559#st_43" TargetMode="External"/><Relationship Id="rIdhp51xkego_ruzca6mussk" Type="http://schemas.openxmlformats.org/officeDocument/2006/relationships/hyperlink" Target="https://dalil.kg/document/205425" TargetMode="External"/><Relationship Id="rIdo4_djz1en_ljo6ytian1q" Type="http://schemas.openxmlformats.org/officeDocument/2006/relationships/hyperlink" Target="https://dalil.kg/document/301180" TargetMode="External"/><Relationship Id="rIdlfomawpdsjtyrwvpiazkh" Type="http://schemas.openxmlformats.org/officeDocument/2006/relationships/hyperlink" Target="https://dalil.kg/document/301181" TargetMode="External"/><Relationship Id="rId27hpqybguxuh7dsfwab6y" Type="http://schemas.openxmlformats.org/officeDocument/2006/relationships/hyperlink" Target="https://dalil.kg/document/800711#p1" TargetMode="External"/><Relationship Id="rIdjppdv2ey1c6kq6di7yefo" Type="http://schemas.openxmlformats.org/officeDocument/2006/relationships/hyperlink" Target="https://dalil.kg/document/301180" TargetMode="External"/><Relationship Id="rIdntb6rkjfmr-3uwuhgb-mr" Type="http://schemas.openxmlformats.org/officeDocument/2006/relationships/hyperlink" Target="https://dalil.kg/document/301181" TargetMode="External"/><Relationship Id="rIdvgzztfreo15joc0zhw79p" Type="http://schemas.openxmlformats.org/officeDocument/2006/relationships/hyperlink" Target="https://dalil.kg/document/301181" TargetMode="External"/><Relationship Id="rIdgjlnrckcdnsdguvsiglli" Type="http://schemas.openxmlformats.org/officeDocument/2006/relationships/hyperlink" Target="https://dalil.kg/document/301180" TargetMode="External"/><Relationship Id="rIdova2zp_x9ipghuu7g9ryv" Type="http://schemas.openxmlformats.org/officeDocument/2006/relationships/hyperlink" Target="https://dalil.kg/document/301181" TargetMode="External"/><Relationship Id="rIdusk1ge50uukn5we76rxw1" Type="http://schemas.openxmlformats.org/officeDocument/2006/relationships/hyperlink" Target="https://dalil.kg/document/559" TargetMode="External"/><Relationship Id="rIdbqx5qvp_cge9uuyw3zfo2" Type="http://schemas.openxmlformats.org/officeDocument/2006/relationships/hyperlink" Target="https://dalil.kg/document/111486" TargetMode="External"/><Relationship Id="rIdykcm67al72obiumndztm6" Type="http://schemas.openxmlformats.org/officeDocument/2006/relationships/hyperlink" Target="https://dalil.kg/document/1491" TargetMode="External"/><Relationship Id="rIdo7a_xzxc8_uhv3jn0kjez" Type="http://schemas.openxmlformats.org/officeDocument/2006/relationships/hyperlink" Target="https://dalil.kg/document/677" TargetMode="External"/><Relationship Id="rIdknbq-g7jflga-8tts1odw" Type="http://schemas.openxmlformats.org/officeDocument/2006/relationships/hyperlink" Target="https://dalil.kg/document/111822" TargetMode="External"/><Relationship Id="rIdxlgzq3vq66hszd54u3za6" Type="http://schemas.openxmlformats.org/officeDocument/2006/relationships/hyperlink" Target="https://dalil.kg/document/205425" TargetMode="External"/><Relationship Id="rIdts68q5decezq6s_ldbcmm" Type="http://schemas.openxmlformats.org/officeDocument/2006/relationships/hyperlink" Target="https://dalil.kg/document/301181" TargetMode="External"/><Relationship Id="rIdqwfuuwnhssxlfaqbrohbt" Type="http://schemas.openxmlformats.org/officeDocument/2006/relationships/hyperlink" Target="https://dalil.kg/document/301181#p2" TargetMode="External"/><Relationship Id="rIdyh4ysskujuzinmo_y2xth" Type="http://schemas.openxmlformats.org/officeDocument/2006/relationships/hyperlink" Target="https://dalil.kg/document/301181" TargetMode="External"/><Relationship Id="rIdhoh80jvn2_ofsgunbbuwh" Type="http://schemas.openxmlformats.org/officeDocument/2006/relationships/hyperlink" Target="https://dalil.kg/document/301181" TargetMode="External"/><Relationship Id="rIdj2p5milpavn21orhj9rx6" Type="http://schemas.openxmlformats.org/officeDocument/2006/relationships/hyperlink" Target="https://dalil.kg/document/301181" TargetMode="External"/><Relationship Id="rIdahvgzdsyb7uuauqrcdzni" Type="http://schemas.openxmlformats.org/officeDocument/2006/relationships/hyperlink" Target="https://dalil.kg/document/800711#p2"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yk4sgjdbuc_5xxo18yes" Type="http://schemas.openxmlformats.org/officeDocument/2006/relationships/hyperlink" Target="https://dalil.kg/document/800711" TargetMode="External"/><Relationship Id="rIdtkwt_jfckwdfb3mylla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2026-09-24T16:34:41.084Z</dcterms:created>
  <dcterms:modified xsi:type="dcterms:W3CDTF">2026-09-24T16:34:41.084Z</dcterms:modified>
</cp:coreProperties>
</file>

<file path=docProps/custom.xml><?xml version="1.0" encoding="utf-8"?>
<Properties xmlns="http://schemas.openxmlformats.org/officeDocument/2006/custom-properties" xmlns:vt="http://schemas.openxmlformats.org/officeDocument/2006/docPropsVTypes"/>
</file>