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xhwg-dc_ayfuowlq5wkw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28 сентября 2022 года № 2022-П-12/60-2</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ПОСТАНОВЛЕНИЕ ПРАВЛЕНИЯ НАЦИОНАЛЬНОГО БАНКА КЫРГЫЗСКОЙ РЕСПУБЛИКИ</w:t>
      </w:r>
    </w:p>
    <w:p>
      <w:pPr>
        <w:spacing w:after="120"/>
        <w:jc w:val="both"/>
      </w:pPr>
      <w:r>
        <w:rPr>
          <w:rFonts w:ascii="Arial" w:cs="Arial" w:eastAsia="Arial" w:hAnsi="Arial"/>
          <w:sz w:val="24"/>
          <w:szCs w:val="24"/>
        </w:rPr>
        <w:t xml:space="preserve">от 19 мая 2021 года № 2021-П-12/25-2-(НПА)</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О внесении изменений в постановление Правления Национального банка Кыргызской Республики "О Временных правилах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финансово-кредитными организациями" от 29 апреля 2020 года № 2020-П-12/25-7-(НПА)</w:t>
      </w:r>
    </w:p>
    <w:p>
      <w:pPr>
        <w:spacing w:after="120"/>
        <w:ind w:firstLine="39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статьями </w:t>
      </w:r>
      <w:hyperlink w:history="1" r:id="rIdoalewilph_s0sct41wf90">
        <w:r>
          <w:rPr>
            <w:rFonts w:ascii="Arial" w:cs="Arial" w:eastAsia="Arial" w:hAnsi="Arial"/>
            <w:color w:val="1D4ED8"/>
            <w:sz w:val="24"/>
            <w:szCs w:val="24"/>
            <w:u w:val="single"/>
          </w:rPr>
          <w:t xml:space="preserve">20</w:t>
        </w:r>
      </w:hyperlink>
      <w:r>
        <w:rPr>
          <w:rFonts w:ascii="Arial" w:cs="Arial" w:eastAsia="Arial" w:hAnsi="Arial"/>
          <w:sz w:val="24"/>
          <w:szCs w:val="24"/>
        </w:rPr>
        <w:t xml:space="preserve"> и </w:t>
      </w:r>
      <w:hyperlink w:history="1" r:id="rId2ikgpy8er_x-6avgwylvr">
        <w:r>
          <w:rPr>
            <w:rFonts w:ascii="Arial" w:cs="Arial" w:eastAsia="Arial" w:hAnsi="Arial"/>
            <w:color w:val="1D4ED8"/>
            <w:sz w:val="24"/>
            <w:szCs w:val="24"/>
            <w:u w:val="single"/>
          </w:rPr>
          <w:t xml:space="preserve">68</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dqbctvxihrmwbwybff-o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asmlpotsbfix5v9szyd3x">
        <w:r>
          <w:rPr>
            <w:rFonts w:ascii="Arial" w:cs="Arial" w:eastAsia="Arial" w:hAnsi="Arial"/>
            <w:color w:val="1D4ED8"/>
            <w:sz w:val="24"/>
            <w:szCs w:val="24"/>
            <w:u w:val="single"/>
          </w:rPr>
          <w:t xml:space="preserve">Временных правилах</w:t>
        </w:r>
      </w:hyperlink>
      <w:r>
        <w:rPr>
          <w:rFonts w:ascii="Arial" w:cs="Arial" w:eastAsia="Arial" w:hAnsi="Arial"/>
          <w:sz w:val="24"/>
          <w:szCs w:val="24"/>
        </w:rPr>
        <w:t xml:space="preserve">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финансово-кредитными организациями" от 29 апреля 2020 года № 2020-П-12/25-7-(НПА) следующие изменения:</w:t>
      </w:r>
    </w:p>
    <w:p>
      <w:pPr>
        <w:spacing w:after="120"/>
        <w:jc w:val="both"/>
      </w:pPr>
      <w:r>
        <w:rPr>
          <w:rFonts w:ascii="Arial" w:cs="Arial" w:eastAsia="Arial" w:hAnsi="Arial"/>
          <w:sz w:val="24"/>
          <w:szCs w:val="24"/>
        </w:rPr>
        <w:t xml:space="preserve">во </w:t>
      </w:r>
      <w:hyperlink w:history="1" r:id="rIdabpsgcpnvn1z508wd8cet">
        <w:r>
          <w:rPr>
            <w:rFonts w:ascii="Arial" w:cs="Arial" w:eastAsia="Arial" w:hAnsi="Arial"/>
            <w:color w:val="1D4ED8"/>
            <w:sz w:val="24"/>
            <w:szCs w:val="24"/>
            <w:u w:val="single"/>
          </w:rPr>
          <w:t xml:space="preserve">Временных правилах</w:t>
        </w:r>
      </w:hyperlink>
      <w:r>
        <w:rPr>
          <w:rFonts w:ascii="Arial" w:cs="Arial" w:eastAsia="Arial" w:hAnsi="Arial"/>
          <w:sz w:val="24"/>
          <w:szCs w:val="24"/>
        </w:rPr>
        <w:t xml:space="preserve"> классификации активов и осуществления соответствующих отчислений в резерв на покрытие потенциальных потерь и убытков коммерческими банками, утвержденных вышеуказанным </w:t>
      </w:r>
      <w:hyperlink w:history="1" r:id="rIdgfo5t0vmqltpjydlbk1p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12 изложить в следующей редакции:</w:t>
      </w:r>
    </w:p>
    <w:p>
      <w:pPr>
        <w:spacing w:after="120"/>
        <w:jc w:val="both"/>
      </w:pPr>
      <w:r>
        <w:rPr>
          <w:rFonts w:ascii="Arial" w:cs="Arial" w:eastAsia="Arial" w:hAnsi="Arial"/>
          <w:sz w:val="24"/>
          <w:szCs w:val="24"/>
        </w:rPr>
        <w:t xml:space="preserve">"12. Банки вправе не ухудшать категорию классификации актива при его реструктуризации в связи с изменениями денежных потоков и финансового положения заемщика, ввиду влияния ограничений для сдерживания распространения коронавирусной инфекции в случае, если данный актив был реструктуризирован не более 3 (трех) раз, начиная с 1 марта 2020 года, при выполнении следующих условий:</w:t>
      </w:r>
    </w:p>
    <w:p>
      <w:pPr>
        <w:spacing w:after="120"/>
        <w:jc w:val="both"/>
      </w:pPr>
      <w:r>
        <w:rPr>
          <w:rFonts w:ascii="Arial" w:cs="Arial" w:eastAsia="Arial" w:hAnsi="Arial"/>
          <w:sz w:val="24"/>
          <w:szCs w:val="24"/>
        </w:rPr>
        <w:t xml:space="preserve">- просроченная задолженность по основной сумме и/или процентам по реструктуризируемому активу составляла не более 180 дней;</w:t>
      </w:r>
    </w:p>
    <w:p>
      <w:pPr>
        <w:spacing w:after="120"/>
        <w:jc w:val="both"/>
      </w:pPr>
      <w:r>
        <w:rPr>
          <w:rFonts w:ascii="Arial" w:cs="Arial" w:eastAsia="Arial" w:hAnsi="Arial"/>
          <w:sz w:val="24"/>
          <w:szCs w:val="24"/>
        </w:rPr>
        <w:t xml:space="preserve">- банком проведен тщательный анализ финансового состояния заемщика (с соответствующими расчетами, финансовыми показателями), который подтверждает возможность для заемщика осуществлять платежи по предлагаемому плану реструктуризации.";</w:t>
      </w:r>
    </w:p>
    <w:p>
      <w:pPr>
        <w:spacing w:after="120"/>
        <w:jc w:val="both"/>
      </w:pPr>
      <w:r>
        <w:rPr>
          <w:rFonts w:ascii="Arial" w:cs="Arial" w:eastAsia="Arial" w:hAnsi="Arial"/>
          <w:sz w:val="24"/>
          <w:szCs w:val="24"/>
        </w:rPr>
        <w:t xml:space="preserve">- пункт 13 изложить в следующей редакции:</w:t>
      </w:r>
    </w:p>
    <w:p>
      <w:pPr>
        <w:spacing w:after="120"/>
        <w:jc w:val="both"/>
      </w:pPr>
      <w:r>
        <w:rPr>
          <w:rFonts w:ascii="Arial" w:cs="Arial" w:eastAsia="Arial" w:hAnsi="Arial"/>
          <w:sz w:val="24"/>
          <w:szCs w:val="24"/>
        </w:rPr>
        <w:t xml:space="preserve">"13. При возникновении просроченной задолженности по реструктуризированным активам (независимо от количества реструктуризаций) в период с 1 марта 2020 года такие активы классифицируются в соответствии с признаками категорий классификации, установленными настоящими Временными правилами.";</w:t>
      </w:r>
    </w:p>
    <w:p>
      <w:pPr>
        <w:spacing w:after="120"/>
        <w:jc w:val="both"/>
      </w:pPr>
      <w:r>
        <w:rPr>
          <w:rFonts w:ascii="Arial" w:cs="Arial" w:eastAsia="Arial" w:hAnsi="Arial"/>
          <w:sz w:val="24"/>
          <w:szCs w:val="24"/>
        </w:rPr>
        <w:t xml:space="preserve">- пункт 14 изложить в следующей редакции:</w:t>
      </w:r>
    </w:p>
    <w:p>
      <w:pPr>
        <w:spacing w:after="120"/>
        <w:jc w:val="both"/>
      </w:pPr>
      <w:r>
        <w:rPr>
          <w:rFonts w:ascii="Arial" w:cs="Arial" w:eastAsia="Arial" w:hAnsi="Arial"/>
          <w:sz w:val="24"/>
          <w:szCs w:val="24"/>
        </w:rPr>
        <w:t xml:space="preserve">"14. При проведении четвертой и последующей реструктуризации активов категория классификации должна быть ухудшена банком как минимум на 1 категорию.".</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3. Установить срок действия пункта 12 и 14 </w:t>
      </w:r>
      <w:hyperlink w:history="1" r:id="rIdi7dx8cjbkzyrl98cbehg8">
        <w:r>
          <w:rPr>
            <w:rFonts w:ascii="Arial" w:cs="Arial" w:eastAsia="Arial" w:hAnsi="Arial"/>
            <w:color w:val="1D4ED8"/>
            <w:sz w:val="24"/>
            <w:szCs w:val="24"/>
            <w:u w:val="single"/>
          </w:rPr>
          <w:t xml:space="preserve">Временных правил</w:t>
        </w:r>
      </w:hyperlink>
      <w:r>
        <w:rPr>
          <w:rFonts w:ascii="Arial" w:cs="Arial" w:eastAsia="Arial" w:hAnsi="Arial"/>
          <w:sz w:val="24"/>
          <w:szCs w:val="24"/>
        </w:rPr>
        <w:t xml:space="preserve">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финансово-кредитными организациями до 1 сентября 2021 года.</w:t>
      </w:r>
    </w:p>
    <w:p>
      <w:pPr>
        <w:spacing w:after="120"/>
        <w:jc w:val="both"/>
      </w:pPr>
      <w:r>
        <w:rPr>
          <w:rFonts w:ascii="Arial" w:cs="Arial" w:eastAsia="Arial" w:hAnsi="Arial"/>
          <w:sz w:val="24"/>
          <w:szCs w:val="24"/>
        </w:rPr>
        <w:t xml:space="preserve">4.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5. Управлению методологии надзора и лицензирования банков довести настоящее постановление до сведения ОЮЛ "Союз банков Кыргызстана", коммерческих банков, Государственного банка развития Кыргызской Республики, ОЮЛ "Ассоциация микрофинансовых организаций", микрофинансовых компаний, привлекающих срочные депозиты, ОАО "Финансовая компания кредитных союзов", ОАО "Гарантийный фонд", соответствующих структурных подразделений, областных управлений и представительства Национального банка в Баткенской области.</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 и лицензирования банков.</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adyfvwuc5w2ktnykurv9">
      <w:r>
        <w:rPr>
          <w:rFonts w:ascii="Arial" w:cs="Arial" w:eastAsia="Arial" w:hAnsi="Arial"/>
          <w:color w:val="132D3F"/>
          <w:sz w:val="16"/>
          <w:szCs w:val="16"/>
          <w:u w:val="single"/>
        </w:rPr>
        <w:t xml:space="preserve">dalil.kg/document/800753</w:t>
      </w:r>
    </w:hyperlink>
  </w:p>
  <w:p>
    <w:pPr>
      <w:spacing w:after="0" w:before="40"/>
      <w:jc w:val="center"/>
    </w:pPr>
    <w:hyperlink w:history="1" r:id="rIdwpoinv3bedxyiajkpfw9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hwg-dc_ayfuowlq5wkwt" Type="http://schemas.openxmlformats.org/officeDocument/2006/relationships/hyperlink" Target="https://dalil.kg/document/800475" TargetMode="External"/><Relationship Id="rIdoalewilph_s0sct41wf90" Type="http://schemas.openxmlformats.org/officeDocument/2006/relationships/hyperlink" Target="https://dalil.kg/document/111486#st_20" TargetMode="External"/><Relationship Id="rId2ikgpy8er_x-6avgwylvr" Type="http://schemas.openxmlformats.org/officeDocument/2006/relationships/hyperlink" Target="https://dalil.kg/document/111486#st_68" TargetMode="External"/><Relationship Id="rIddqbctvxihrmwbwybff-oe" Type="http://schemas.openxmlformats.org/officeDocument/2006/relationships/hyperlink" Target="https://dalil.kg/document/800530" TargetMode="External"/><Relationship Id="rIdasmlpotsbfix5v9szyd3x" Type="http://schemas.openxmlformats.org/officeDocument/2006/relationships/hyperlink" Target="https://dalil.kg/document/800534" TargetMode="External"/><Relationship Id="rIdabpsgcpnvn1z508wd8cet" Type="http://schemas.openxmlformats.org/officeDocument/2006/relationships/hyperlink" Target="https://dalil.kg/document/800534" TargetMode="External"/><Relationship Id="rIdgfo5t0vmqltpjydlbk1px" Type="http://schemas.openxmlformats.org/officeDocument/2006/relationships/hyperlink" Target="https://dalil.kg/document/800530" TargetMode="External"/><Relationship Id="rIdi7dx8cjbkzyrl98cbehg8" Type="http://schemas.openxmlformats.org/officeDocument/2006/relationships/hyperlink" Target="https://dalil.kg/document/800534"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adyfvwuc5w2ktnykurv9" Type="http://schemas.openxmlformats.org/officeDocument/2006/relationships/hyperlink" Target="https://dalil.kg/document/800753" TargetMode="External"/><Relationship Id="rIdwpoinv3bedxyiajkpfw9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2026-09-25T09:00:11.828Z</dcterms:created>
  <dcterms:modified xsi:type="dcterms:W3CDTF">2026-09-25T09:00:11.828Z</dcterms:modified>
</cp:coreProperties>
</file>

<file path=docProps/custom.xml><?xml version="1.0" encoding="utf-8"?>
<Properties xmlns="http://schemas.openxmlformats.org/officeDocument/2006/custom-properties" xmlns:vt="http://schemas.openxmlformats.org/officeDocument/2006/docPropsVTypes"/>
</file>