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both"/>
      </w:pPr>
      <w:r>
        <w:rPr>
          <w:rFonts w:ascii="Arial" w:cs="Arial" w:eastAsia="Arial" w:hAnsi="Arial"/>
          <w:sz w:val="24"/>
          <w:szCs w:val="24"/>
        </w:rPr>
        <w:t xml:space="preserve">от 19 мая 2021 года № 2021-П-12/25-3-(НПА)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постановления Правления Нацбанка КР от </w:t>
      </w:r>
      <w:hyperlink w:history="1" r:id="rIdaowikqo4mj8hkcm02b-il">
        <w:r>
          <w:rPr>
            <w:rFonts w:ascii="Arial" w:cs="Arial" w:eastAsia="Arial" w:hAnsi="Arial"/>
            <w:i/>
            <w:iCs/>
            <w:color w:val="1D4ED8"/>
            <w:sz w:val="24"/>
            <w:szCs w:val="24"/>
            <w:u w:val="single"/>
          </w:rPr>
          <w:t xml:space="preserve">28 сентября 2022 года № 2022-П-12/60-2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статьями </w:t>
      </w:r>
      <w:hyperlink w:history="1" r:id="rIdzjavesbyzeijsyxbssreg">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8zgkdjge-ayz87cfgvas8">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ind w:firstLine="397"/>
        <w:jc w:val="both"/>
      </w:pPr>
      <w:r>
        <w:rPr>
          <w:rFonts w:ascii="Arial" w:cs="Arial" w:eastAsia="Arial" w:hAnsi="Arial"/>
          <w:sz w:val="24"/>
          <w:szCs w:val="24"/>
        </w:rPr>
        <w:t xml:space="preserve">1. Внести </w:t>
      </w:r>
      <w:hyperlink w:history="1" r:id="rIdvuhkzpxlnan1j7nnvi-iv">
        <w:r>
          <w:rPr>
            <w:rFonts w:ascii="Arial" w:cs="Arial" w:eastAsia="Arial" w:hAnsi="Arial"/>
            <w:color w:val="1D4ED8"/>
            <w:sz w:val="24"/>
            <w:szCs w:val="24"/>
            <w:u w:val="single"/>
          </w:rPr>
          <w:t xml:space="preserve">изменения</w:t>
        </w:r>
      </w:hyperlink>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120"/>
        <w:ind w:firstLine="397"/>
        <w:jc w:val="both"/>
      </w:pPr>
      <w:r>
        <w:rPr>
          <w:rFonts w:ascii="Arial" w:cs="Arial" w:eastAsia="Arial" w:hAnsi="Arial"/>
          <w:sz w:val="24"/>
          <w:szCs w:val="24"/>
        </w:rPr>
        <w:t xml:space="preserve">- Об утверждении </w:t>
      </w:r>
      <w:hyperlink w:history="1" r:id="rId8ft6vtluwdlr0cl3m7_m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w:t>
      </w:r>
      <w:hyperlink w:history="1" r:id="rIdgtqk_jhykeb4vumx1mhu1">
        <w:r>
          <w:rPr>
            <w:rFonts w:ascii="Arial" w:cs="Arial" w:eastAsia="Arial" w:hAnsi="Arial"/>
            <w:color w:val="1D4ED8"/>
            <w:sz w:val="24"/>
            <w:szCs w:val="24"/>
            <w:u w:val="single"/>
          </w:rPr>
          <w:t xml:space="preserve">от 21 июля 2004 года № 18/3</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 (абзац утратил силу в соответствии с постановлением Правления Нацбанка КР от </w:t>
      </w:r>
      <w:hyperlink w:history="1" r:id="rIdntue9msvgn39x_1arnzka">
        <w:r>
          <w:rPr>
            <w:rFonts w:ascii="Arial" w:cs="Arial" w:eastAsia="Arial" w:hAnsi="Arial"/>
            <w:i/>
            <w:iCs/>
            <w:color w:val="1D4ED8"/>
            <w:sz w:val="24"/>
            <w:szCs w:val="24"/>
            <w:u w:val="single"/>
          </w:rPr>
          <w:t xml:space="preserve">28 сентября 2022 года № 2022-П-12/60-2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3. Юридическому управлению:</w:t>
      </w:r>
    </w:p>
    <w:p>
      <w:pPr>
        <w:spacing w:after="120"/>
        <w:ind w:firstLine="39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ind w:firstLine="39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компаний, привлекающих срочные депозиты, ОАО "Финансовая компания кредитных союзов", ОАО "Гарантийный фонд", соответствующих структурных подразделений, областных управлений и представительства Национального банка в Баткенской области.</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120"/>
        <w:ind w:firstLine="397"/>
        <w:jc w:val="both"/>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ИЗМЕНЕНИЯ
 в некоторые нормативные правовые акты Национального банка Кыргызской Республики</w:t>
      </w:r>
    </w:p>
    <w:p>
      <w:pPr>
        <w:spacing w:after="120"/>
        <w:ind w:firstLine="567"/>
        <w:jc w:val="center"/>
      </w:pPr>
      <w:r>
        <w:rPr>
          <w:rFonts w:ascii="Arial" w:cs="Arial" w:eastAsia="Arial" w:hAnsi="Arial"/>
          <w:i/>
          <w:iCs/>
          <w:sz w:val="24"/>
          <w:szCs w:val="24"/>
        </w:rPr>
        <w:t xml:space="preserve">(В редакции постановления Правления Нацбанка КР от </w:t>
      </w:r>
      <w:hyperlink w:history="1" r:id="rIdosiwpm4mx7bbnwlqdb1hu">
        <w:r>
          <w:rPr>
            <w:rFonts w:ascii="Arial" w:cs="Arial" w:eastAsia="Arial" w:hAnsi="Arial"/>
            <w:i/>
            <w:iCs/>
            <w:color w:val="1D4ED8"/>
            <w:sz w:val="24"/>
            <w:szCs w:val="24"/>
            <w:u w:val="single"/>
          </w:rPr>
          <w:t xml:space="preserve">28 сентября 2022 года № 2022-П-12/60-2</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Внести в </w:t>
      </w:r>
      <w:hyperlink w:history="1" r:id="rIdt0cjxatudjfmcusbkgpa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ef10yxlta3syxnkgkva9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от 21 июля 2004 года № 18/3 следующие изменения:</w:t>
      </w:r>
    </w:p>
    <w:p>
      <w:pPr>
        <w:spacing w:after="120"/>
        <w:ind w:firstLine="567"/>
        <w:jc w:val="both"/>
      </w:pPr>
      <w:r>
        <w:rPr>
          <w:rFonts w:ascii="Arial" w:cs="Arial" w:eastAsia="Arial" w:hAnsi="Arial"/>
          <w:sz w:val="24"/>
          <w:szCs w:val="24"/>
        </w:rPr>
        <w:t xml:space="preserve">в </w:t>
      </w:r>
      <w:hyperlink w:history="1" r:id="rId4lmt0e1gs2jmh0m-bvac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утвержденном вышеуказанным </w:t>
      </w:r>
      <w:hyperlink w:history="1" r:id="rIdrklq60x39oytrovdp5eo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4.1.2. изложить в следующей редакции:</w:t>
      </w:r>
    </w:p>
    <w:p>
      <w:pPr>
        <w:spacing w:after="120"/>
        <w:ind w:firstLine="567"/>
        <w:jc w:val="both"/>
      </w:pPr>
      <w:r>
        <w:rPr>
          <w:rFonts w:ascii="Arial" w:cs="Arial" w:eastAsia="Arial" w:hAnsi="Arial"/>
          <w:sz w:val="24"/>
          <w:szCs w:val="24"/>
        </w:rPr>
        <w:t xml:space="preserve">"4.1.2. Банк может классифицировать часть актива, обеспеченную гарантией гарантийного фонда, лицензируемого и регулируемого в соответствии с законодательством Кыргызской Республики, как "нормальный актив", при одновременном соблюдении всех следующих условий:</w:t>
      </w:r>
    </w:p>
    <w:p>
      <w:pPr>
        <w:spacing w:after="120"/>
        <w:ind w:firstLine="567"/>
        <w:jc w:val="both"/>
      </w:pPr>
      <w:r>
        <w:rPr>
          <w:rFonts w:ascii="Arial" w:cs="Arial" w:eastAsia="Arial" w:hAnsi="Arial"/>
          <w:sz w:val="24"/>
          <w:szCs w:val="24"/>
        </w:rPr>
        <w:t xml:space="preserve">- более 50% активов гарантийного фонда являются безрисковыми активами на день выдачи гарантии;</w:t>
      </w:r>
    </w:p>
    <w:p>
      <w:pPr>
        <w:spacing w:after="120"/>
        <w:ind w:firstLine="567"/>
        <w:jc w:val="both"/>
      </w:pPr>
      <w:r>
        <w:rPr>
          <w:rFonts w:ascii="Arial" w:cs="Arial" w:eastAsia="Arial" w:hAnsi="Arial"/>
          <w:sz w:val="24"/>
          <w:szCs w:val="24"/>
        </w:rPr>
        <w:t xml:space="preserve">- объем активов, обеспеченных гарантией гарантийного фонда, не должен превышать суммы высоколиквидных активов гарантийного фонда более чем в два раза.</w:t>
      </w:r>
    </w:p>
    <w:p>
      <w:pPr>
        <w:spacing w:after="120"/>
        <w:ind w:firstLine="567"/>
        <w:jc w:val="both"/>
      </w:pPr>
      <w:r>
        <w:rPr>
          <w:rFonts w:ascii="Arial" w:cs="Arial" w:eastAsia="Arial" w:hAnsi="Arial"/>
          <w:sz w:val="24"/>
          <w:szCs w:val="24"/>
        </w:rPr>
        <w:t xml:space="preserve">В целях настоящего пункта под "безрисковыми активами" необходимо понимать ценные бумаги Правительства Кыргызской Республики и Национального банка, а также срочные депозиты, размещенные в банках, соответствующие следующим условиям:</w:t>
      </w:r>
    </w:p>
    <w:p>
      <w:pPr>
        <w:spacing w:after="120"/>
        <w:ind w:firstLine="567"/>
        <w:jc w:val="both"/>
      </w:pPr>
      <w:r>
        <w:rPr>
          <w:rFonts w:ascii="Arial" w:cs="Arial" w:eastAsia="Arial" w:hAnsi="Arial"/>
          <w:sz w:val="24"/>
          <w:szCs w:val="24"/>
        </w:rPr>
        <w:t xml:space="preserve">- наличие значительной доли государственного участия и/или доли участия органов государственной власти Кыргызской Республики со специальным статусом;</w:t>
      </w:r>
    </w:p>
    <w:p>
      <w:pPr>
        <w:spacing w:after="120"/>
        <w:ind w:firstLine="567"/>
        <w:jc w:val="both"/>
      </w:pPr>
      <w:r>
        <w:rPr>
          <w:rFonts w:ascii="Arial" w:cs="Arial" w:eastAsia="Arial" w:hAnsi="Arial"/>
          <w:sz w:val="24"/>
          <w:szCs w:val="24"/>
        </w:rPr>
        <w:t xml:space="preserve">- отсутствие ограничений в перечне разрешенных банковских операций в национальной и/или иностранной валютах;</w:t>
      </w:r>
    </w:p>
    <w:p>
      <w:pPr>
        <w:spacing w:after="120"/>
        <w:ind w:firstLine="567"/>
        <w:jc w:val="both"/>
      </w:pPr>
      <w:r>
        <w:rPr>
          <w:rFonts w:ascii="Arial" w:cs="Arial" w:eastAsia="Arial" w:hAnsi="Arial"/>
          <w:sz w:val="24"/>
          <w:szCs w:val="24"/>
        </w:rPr>
        <w:t xml:space="preserve">- соблюдение экономических нормативов и требований;</w:t>
      </w:r>
    </w:p>
    <w:p>
      <w:pPr>
        <w:spacing w:after="120"/>
        <w:ind w:firstLine="567"/>
        <w:jc w:val="both"/>
      </w:pPr>
      <w:r>
        <w:rPr>
          <w:rFonts w:ascii="Arial" w:cs="Arial" w:eastAsia="Arial" w:hAnsi="Arial"/>
          <w:sz w:val="24"/>
          <w:szCs w:val="24"/>
        </w:rPr>
        <w:t xml:space="preserve">- отсутствие введенных специальных режимов.".</w:t>
      </w:r>
    </w:p>
    <w:p>
      <w:pPr>
        <w:spacing w:after="120"/>
        <w:jc w:val="both"/>
      </w:pPr>
      <w:r>
        <w:rPr>
          <w:rFonts w:ascii="Arial" w:cs="Arial" w:eastAsia="Arial" w:hAnsi="Arial"/>
          <w:sz w:val="24"/>
          <w:szCs w:val="24"/>
        </w:rPr>
        <w:t xml:space="preserve">2. (Утратил силу в соответствии с постановлением Правления Нацбанка КР от </w:t>
      </w:r>
      <w:hyperlink w:history="1" r:id="rIdzs1wwylf6q3twkvl0ujs5">
        <w:r>
          <w:rPr>
            <w:rFonts w:ascii="Arial" w:cs="Arial" w:eastAsia="Arial" w:hAnsi="Arial"/>
            <w:color w:val="1D4ED8"/>
            <w:sz w:val="24"/>
            <w:szCs w:val="24"/>
            <w:u w:val="single"/>
          </w:rPr>
          <w:t xml:space="preserve">28 сентября 2022 года № 2022-П-12/60-2</w:t>
        </w:r>
      </w:hyperlink>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i36usd1coafega7exx9x">
      <w:r>
        <w:rPr>
          <w:rFonts w:ascii="Arial" w:cs="Arial" w:eastAsia="Arial" w:hAnsi="Arial"/>
          <w:color w:val="132D3F"/>
          <w:sz w:val="16"/>
          <w:szCs w:val="16"/>
          <w:u w:val="single"/>
        </w:rPr>
        <w:t xml:space="preserve">dalil.kg/document/800767</w:t>
      </w:r>
    </w:hyperlink>
  </w:p>
  <w:p>
    <w:pPr>
      <w:spacing w:after="0" w:before="40"/>
      <w:jc w:val="center"/>
    </w:pPr>
    <w:hyperlink w:history="1" r:id="rIdffk_j5w52uaqhffyvyvx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owikqo4mj8hkcm02b-il" Type="http://schemas.openxmlformats.org/officeDocument/2006/relationships/hyperlink" Target="https://dalil.kg/document/800475" TargetMode="External"/><Relationship Id="rIdzjavesbyzeijsyxbssreg" Type="http://schemas.openxmlformats.org/officeDocument/2006/relationships/hyperlink" Target="https://dalil.kg/document/111486#st_20" TargetMode="External"/><Relationship Id="rId8zgkdjge-ayz87cfgvas8" Type="http://schemas.openxmlformats.org/officeDocument/2006/relationships/hyperlink" Target="https://dalil.kg/document/111486#st_68" TargetMode="External"/><Relationship Id="rIdvuhkzpxlnan1j7nnvi-iv" Type="http://schemas.openxmlformats.org/officeDocument/2006/relationships/hyperlink" Target="https://dalil.kg/document/800767#pr" TargetMode="External"/><Relationship Id="rId8ft6vtluwdlr0cl3m7_mc" Type="http://schemas.openxmlformats.org/officeDocument/2006/relationships/hyperlink" Target="https://dalil.kg/document/31372" TargetMode="External"/><Relationship Id="rIdgtqk_jhykeb4vumx1mhu1" Type="http://schemas.openxmlformats.org/officeDocument/2006/relationships/hyperlink" Target="https://dalil.kg/document/31371" TargetMode="External"/><Relationship Id="rIdntue9msvgn39x_1arnzka" Type="http://schemas.openxmlformats.org/officeDocument/2006/relationships/hyperlink" Target="https://dalil.kg/document/800475" TargetMode="External"/><Relationship Id="rIdosiwpm4mx7bbnwlqdb1hu" Type="http://schemas.openxmlformats.org/officeDocument/2006/relationships/hyperlink" Target="https://dalil.kg/document/800475" TargetMode="External"/><Relationship Id="rIdt0cjxatudjfmcusbkgpai" Type="http://schemas.openxmlformats.org/officeDocument/2006/relationships/hyperlink" Target="https://dalil.kg/document/31371" TargetMode="External"/><Relationship Id="rIdef10yxlta3syxnkgkva9c" Type="http://schemas.openxmlformats.org/officeDocument/2006/relationships/hyperlink" Target="https://dalil.kg/document/31372" TargetMode="External"/><Relationship Id="rId4lmt0e1gs2jmh0m-bvaci" Type="http://schemas.openxmlformats.org/officeDocument/2006/relationships/hyperlink" Target="https://dalil.kg/document/31372" TargetMode="External"/><Relationship Id="rIdrklq60x39oytrovdp5eou" Type="http://schemas.openxmlformats.org/officeDocument/2006/relationships/hyperlink" Target="https://dalil.kg/document/31371" TargetMode="External"/><Relationship Id="rIdzs1wwylf6q3twkvl0ujs5" Type="http://schemas.openxmlformats.org/officeDocument/2006/relationships/hyperlink" Target="https://dalil.kg/document/800475"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i36usd1coafega7exx9x" Type="http://schemas.openxmlformats.org/officeDocument/2006/relationships/hyperlink" Target="https://dalil.kg/document/800767" TargetMode="External"/><Relationship Id="rIdffk_j5w52uaqhffyvyvx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2026-09-24T08:04:31.532Z</dcterms:created>
  <dcterms:modified xsi:type="dcterms:W3CDTF">2026-09-24T08:04:31.532Z</dcterms:modified>
</cp:coreProperties>
</file>

<file path=docProps/custom.xml><?xml version="1.0" encoding="utf-8"?>
<Properties xmlns="http://schemas.openxmlformats.org/officeDocument/2006/custom-properties" xmlns:vt="http://schemas.openxmlformats.org/officeDocument/2006/docPropsVTypes"/>
</file>