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НАЦИОНАЛЬНЫЙ БАНК КЫРГЫЗСКОЙ РЕПУБЛИКИ </w:t>
      </w:r>
    </w:p>
    <w:p>
      <w:pPr>
        <w:spacing w:after="480" w:before="200"/>
        <w:jc w:val="center"/>
      </w:pPr>
      <w:r>
        <w:rPr>
          <w:rFonts w:ascii="Arial" w:cs="Arial" w:eastAsia="Arial" w:hAnsi="Arial"/>
          <w:b/>
          <w:bCs/>
          <w:sz w:val="32"/>
          <w:szCs w:val="32"/>
        </w:rPr>
        <w:t xml:space="preserve">ПОСТАНОВЛЕНИЕ</w:t>
      </w:r>
    </w:p>
    <w:p>
      <w:pPr>
        <w:spacing w:after="120"/>
        <w:jc w:val="both"/>
      </w:pPr>
      <w:r>
        <w:rPr>
          <w:rFonts w:ascii="Arial" w:cs="Arial" w:eastAsia="Arial" w:hAnsi="Arial"/>
          <w:sz w:val="24"/>
          <w:szCs w:val="24"/>
        </w:rPr>
        <w:t xml:space="preserve">от 30 июня 2021 года № 2021-П-12/36-3-(НПА)</w:t>
      </w:r>
    </w:p>
    <w:p>
      <w:pPr>
        <w:spacing w:after="120"/>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28"/>
          <w:szCs w:val="28"/>
        </w:rPr>
        <w:t xml:space="preserve">О внесении изменений в некоторые нормативные правовые акты Национального банка Кыргызской Республики в части создания равной правовой среды финансово-кредитным организациям, осуществляющим операции в соответствии с исламскими принципами финансирования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 соответствии со статьями </w:t>
      </w:r>
      <w:hyperlink w:history="1" r:id="rIdqysfrf-gylexcqasrhqzi">
        <w:r>
          <w:rPr>
            <w:rFonts w:ascii="Arial" w:cs="Arial" w:eastAsia="Arial" w:hAnsi="Arial"/>
            <w:color w:val="1D4ED8"/>
            <w:sz w:val="24"/>
            <w:szCs w:val="24"/>
            <w:u w:val="single"/>
          </w:rPr>
          <w:t xml:space="preserve">20</w:t>
        </w:r>
      </w:hyperlink>
      <w:r>
        <w:rPr>
          <w:rFonts w:ascii="Arial" w:cs="Arial" w:eastAsia="Arial" w:hAnsi="Arial"/>
          <w:sz w:val="24"/>
          <w:szCs w:val="24"/>
        </w:rPr>
        <w:t xml:space="preserve"> и </w:t>
      </w:r>
      <w:hyperlink w:history="1" r:id="rId-eo4lfvwhuwrwrwzyzz8c">
        <w:r>
          <w:rPr>
            <w:rFonts w:ascii="Arial" w:cs="Arial" w:eastAsia="Arial" w:hAnsi="Arial"/>
            <w:color w:val="1D4ED8"/>
            <w:sz w:val="24"/>
            <w:szCs w:val="24"/>
            <w:u w:val="single"/>
          </w:rPr>
          <w:t xml:space="preserve">68</w:t>
        </w:r>
      </w:hyperlink>
      <w:r>
        <w:rPr>
          <w:rFonts w:ascii="Arial" w:cs="Arial" w:eastAsia="Arial" w:hAnsi="Arial"/>
          <w:sz w:val="24"/>
          <w:szCs w:val="24"/>
        </w:rPr>
        <w:t xml:space="preserve"> Закона Кыргызской Республики "О Национальном банке Кыргызской Республики, банках и банковской деятельности" Правление Национального банка Кыргызской Республики</w:t>
      </w:r>
    </w:p>
    <w:p>
      <w:pPr>
        <w:spacing w:after="60"/>
        <w:ind w:firstLine="567"/>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Внести </w:t>
      </w:r>
      <w:hyperlink w:history="1" r:id="rIdo2unjqsmmyfyxozrlkzm0">
        <w:r>
          <w:rPr>
            <w:rFonts w:ascii="Arial" w:cs="Arial" w:eastAsia="Arial" w:hAnsi="Arial"/>
            <w:color w:val="1D4ED8"/>
            <w:sz w:val="24"/>
            <w:szCs w:val="24"/>
            <w:u w:val="single"/>
          </w:rPr>
          <w:t xml:space="preserve">изменения</w:t>
        </w:r>
      </w:hyperlink>
      <w:r>
        <w:rPr>
          <w:rFonts w:ascii="Arial" w:cs="Arial" w:eastAsia="Arial" w:hAnsi="Arial"/>
          <w:sz w:val="24"/>
          <w:szCs w:val="24"/>
        </w:rPr>
        <w:t xml:space="preserve"> в следующие нормативные правовые акты Национального банка Кыргызской Республики (прилагаются):</w:t>
      </w:r>
    </w:p>
    <w:p>
      <w:pPr>
        <w:spacing w:after="60"/>
        <w:ind w:firstLine="567"/>
        <w:jc w:val="both"/>
      </w:pPr>
      <w:r>
        <w:rPr>
          <w:rFonts w:ascii="Arial" w:cs="Arial" w:eastAsia="Arial" w:hAnsi="Arial"/>
          <w:sz w:val="24"/>
          <w:szCs w:val="24"/>
        </w:rPr>
        <w:t xml:space="preserve">- </w:t>
      </w:r>
      <w:hyperlink w:history="1" r:id="rIdr5oxojzxxdk2-rnv-qou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 некоторых нормативных правовых актах Национального банка Кыргызской Республики" от 28 декабря 2009 года № 51/6;</w:t>
      </w:r>
    </w:p>
    <w:p>
      <w:pPr>
        <w:spacing w:after="60"/>
        <w:ind w:firstLine="567"/>
        <w:jc w:val="both"/>
      </w:pPr>
      <w:r>
        <w:rPr>
          <w:rFonts w:ascii="Arial" w:cs="Arial" w:eastAsia="Arial" w:hAnsi="Arial"/>
          <w:sz w:val="24"/>
          <w:szCs w:val="24"/>
        </w:rPr>
        <w:t xml:space="preserve">- </w:t>
      </w:r>
      <w:hyperlink w:history="1" r:id="rIdf3a08yseamqxl1rt9k7p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u1jitb1uynb_0v-_wgax5">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минимальных требованиях по управлению кредитным риском при осуществлении операций в соответствии с исламскими принципами банковского дела и финансирования" от 25 сентября 2013 года № 35/13.</w:t>
      </w:r>
    </w:p>
    <w:p>
      <w:pPr>
        <w:spacing w:after="60"/>
        <w:ind w:firstLine="567"/>
        <w:jc w:val="both"/>
      </w:pPr>
      <w:r>
        <w:rPr>
          <w:rFonts w:ascii="Arial" w:cs="Arial" w:eastAsia="Arial" w:hAnsi="Arial"/>
          <w:sz w:val="24"/>
          <w:szCs w:val="24"/>
        </w:rPr>
        <w:t xml:space="preserve">2. Настоящее постановление вступает в силу по истечении пятнадцати дней со дня официального опубликования.</w:t>
      </w:r>
    </w:p>
    <w:p>
      <w:pPr>
        <w:spacing w:after="60"/>
        <w:ind w:firstLine="567"/>
        <w:jc w:val="both"/>
      </w:pPr>
      <w:r>
        <w:rPr>
          <w:rFonts w:ascii="Arial" w:cs="Arial" w:eastAsia="Arial" w:hAnsi="Arial"/>
          <w:sz w:val="24"/>
          <w:szCs w:val="24"/>
        </w:rPr>
        <w:t xml:space="preserve">3. Юридическому управлению:</w:t>
      </w:r>
    </w:p>
    <w:p>
      <w:pPr>
        <w:spacing w:after="60"/>
        <w:ind w:firstLine="567"/>
        <w:jc w:val="both"/>
      </w:pPr>
      <w:r>
        <w:rPr>
          <w:rFonts w:ascii="Arial" w:cs="Arial" w:eastAsia="Arial" w:hAnsi="Arial"/>
          <w:sz w:val="24"/>
          <w:szCs w:val="24"/>
        </w:rPr>
        <w:t xml:space="preserve">- опубликовать настоящее постановление на официальном интернет-сайте Национального банка Кыргызской Республики;</w:t>
      </w:r>
    </w:p>
    <w:p>
      <w:pPr>
        <w:spacing w:after="60"/>
        <w:ind w:firstLine="567"/>
        <w:jc w:val="both"/>
      </w:pPr>
      <w:r>
        <w:rPr>
          <w:rFonts w:ascii="Arial" w:cs="Arial" w:eastAsia="Arial" w:hAnsi="Arial"/>
          <w:sz w:val="24"/>
          <w:szCs w:val="24"/>
        </w:rPr>
        <w:t xml:space="preserve">-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w:t>
      </w:r>
    </w:p>
    <w:p>
      <w:pPr>
        <w:spacing w:after="60"/>
        <w:ind w:firstLine="567"/>
        <w:jc w:val="both"/>
      </w:pPr>
      <w:r>
        <w:rPr>
          <w:rFonts w:ascii="Arial" w:cs="Arial" w:eastAsia="Arial" w:hAnsi="Arial"/>
          <w:sz w:val="24"/>
          <w:szCs w:val="24"/>
        </w:rPr>
        <w:t xml:space="preserve">4. Управлению методологии надзора и лицензирования банков довести настоящее постановление до сведения ОАО "Коммерческий банк КЫРГЫЗСТАН", ЗАО "ЭкоИсламикБанк", ОАО "БАКАЙ БАНК", ОЮЛ "Союз банков Кыргызстана", соответствующих структурных подразделений, областных управлений и представительства Национального банка Кыргызской Республики в Баткенской области.</w:t>
      </w:r>
    </w:p>
    <w:p>
      <w:pPr>
        <w:spacing w:after="60"/>
        <w:ind w:firstLine="567"/>
        <w:jc w:val="both"/>
      </w:pPr>
      <w:r>
        <w:rPr>
          <w:rFonts w:ascii="Arial" w:cs="Arial" w:eastAsia="Arial" w:hAnsi="Arial"/>
          <w:sz w:val="24"/>
          <w:szCs w:val="24"/>
        </w:rPr>
        <w:t xml:space="preserve">5. Контроль за исполнением настоящего постановления возложить на члена Правления Национального банка Кыргызской Республики, курирующего управление методологии надзора и лицензирования банков.</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Правления Национального банка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Т.Абдыгулов</w:t>
      </w:r>
    </w:p>
    <w:p>
      <w:pPr>
        <w:spacing w:after="60"/>
        <w:ind w:firstLine="56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к постановлению Правления Национального банка Кыргызской Республики
 от 30 июня 2021 года № 2021-П-12/36-3-(НПА)</w:t>
      </w:r>
    </w:p>
    <w:p>
      <w:pPr>
        <w:spacing w:after="400" w:before="400"/>
        <w:jc w:val="center"/>
      </w:pPr>
      <w:r>
        <w:rPr>
          <w:rFonts w:ascii="Arial" w:cs="Arial" w:eastAsia="Arial" w:hAnsi="Arial"/>
          <w:b/>
          <w:bCs/>
          <w:sz w:val="32"/>
          <w:szCs w:val="32"/>
        </w:rPr>
        <w:t xml:space="preserve">ИЗМЕНЕНИЯ
 в некоторые нормативные правовые акты Национального банка Кыргызской Республики в части создания равной правовой среды финансово-кредитным организациям, осуществляющим операции в соответствии с исламскими принципами финансирования</w:t>
      </w:r>
    </w:p>
    <w:p>
      <w:pPr>
        <w:spacing w:after="60"/>
        <w:ind w:firstLine="567"/>
        <w:jc w:val="both"/>
      </w:pPr>
      <w:r>
        <w:rPr>
          <w:rFonts w:ascii="Arial" w:cs="Arial" w:eastAsia="Arial" w:hAnsi="Arial"/>
          <w:sz w:val="24"/>
          <w:szCs w:val="24"/>
        </w:rPr>
        <w:t xml:space="preserve">1. Внести в </w:t>
      </w:r>
      <w:hyperlink w:history="1" r:id="rId0fslij4swcdj6ju7fpyn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 некоторых нормативных правовых актах Национального банка Кыргызской Республики" от 28 декабря 2009 года № 51/6 следующие изменения:</w:t>
      </w:r>
    </w:p>
    <w:p>
      <w:pPr>
        <w:spacing w:after="60"/>
        <w:ind w:firstLine="567"/>
        <w:jc w:val="both"/>
      </w:pPr>
      <w:r>
        <w:rPr>
          <w:rFonts w:ascii="Arial" w:cs="Arial" w:eastAsia="Arial" w:hAnsi="Arial"/>
          <w:sz w:val="24"/>
          <w:szCs w:val="24"/>
        </w:rPr>
        <w:t xml:space="preserve">в </w:t>
      </w:r>
      <w:hyperlink w:history="1" r:id="rIdf8lm7vx_nt5sw2wd9wwy1">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классификации активов и соответствующих отчислениях в резерв на покрытие потенциальных потерь и убытков при осуществлении операций в соответствии с исламскими принципами банковского дела и финансирования", утвержденном вышеуказанным </w:t>
      </w:r>
      <w:hyperlink w:history="1" r:id="rId8tnkcj793nibnp6au8zg9">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пункт 13 изложить в следующей редакции:</w:t>
      </w:r>
    </w:p>
    <w:p>
      <w:pPr>
        <w:spacing w:after="60"/>
        <w:ind w:firstLine="567"/>
        <w:jc w:val="both"/>
      </w:pPr>
      <w:r>
        <w:rPr>
          <w:rFonts w:ascii="Arial" w:cs="Arial" w:eastAsia="Arial" w:hAnsi="Arial"/>
          <w:sz w:val="24"/>
          <w:szCs w:val="24"/>
        </w:rPr>
        <w:t xml:space="preserve">"13. Инвестиции банка в ценные бумаги и/или в капитал - вложения банка в ценные бумаги, выпускаемые по исламским принципам банковского дела и финансирования, и/или приобретение акций или финансовое вложение в капитал компаний, цель и деятельность которых соответствуют стандартам Шариата.</w:t>
      </w:r>
    </w:p>
    <w:p>
      <w:pPr>
        <w:spacing w:after="60"/>
        <w:ind w:firstLine="567"/>
        <w:jc w:val="both"/>
      </w:pPr>
      <w:r>
        <w:rPr>
          <w:rFonts w:ascii="Arial" w:cs="Arial" w:eastAsia="Arial" w:hAnsi="Arial"/>
          <w:sz w:val="24"/>
          <w:szCs w:val="24"/>
        </w:rPr>
        <w:t xml:space="preserve">Вложения средств банка в оборотные средства других компаний и участие в совместных проектах считаются активами, несущими в себе кредитный риск.</w:t>
      </w:r>
    </w:p>
    <w:p>
      <w:pPr>
        <w:spacing w:after="60"/>
        <w:ind w:firstLine="567"/>
        <w:jc w:val="both"/>
      </w:pPr>
      <w:r>
        <w:rPr>
          <w:rFonts w:ascii="Arial" w:cs="Arial" w:eastAsia="Arial" w:hAnsi="Arial"/>
          <w:sz w:val="24"/>
          <w:szCs w:val="24"/>
        </w:rPr>
        <w:t xml:space="preserve">Нерыночные инвестиции в ценные бумаги - это инвестиции в такие ценные бумаги, которые не котируются на рынке ценных бумаг, или рынок этих ценных бумаг не является развитым, эффективным, транспарентным и не позволяет определить справедливую стоимость этих ценных бумаг. При этом сделки с ценными бумагами могут носить эпизодический характер, а также отсутствует обширная, достоверная и легкодоступная для всех лиц информация о ценной бумаге.</w:t>
      </w:r>
    </w:p>
    <w:p>
      <w:pPr>
        <w:spacing w:after="60"/>
        <w:ind w:firstLine="567"/>
        <w:jc w:val="both"/>
      </w:pPr>
      <w:r>
        <w:rPr>
          <w:rFonts w:ascii="Arial" w:cs="Arial" w:eastAsia="Arial" w:hAnsi="Arial"/>
          <w:sz w:val="24"/>
          <w:szCs w:val="24"/>
        </w:rPr>
        <w:t xml:space="preserve">Все остальные инвестиции в ценные бумаги являются рыночными.";</w:t>
      </w:r>
    </w:p>
    <w:p>
      <w:pPr>
        <w:spacing w:after="60"/>
        <w:ind w:firstLine="567"/>
        <w:jc w:val="both"/>
      </w:pPr>
      <w:r>
        <w:rPr>
          <w:rFonts w:ascii="Arial" w:cs="Arial" w:eastAsia="Arial" w:hAnsi="Arial"/>
          <w:sz w:val="24"/>
          <w:szCs w:val="24"/>
        </w:rPr>
        <w:t xml:space="preserve">- пункт 17 признать утратившим силу;</w:t>
      </w:r>
    </w:p>
    <w:p>
      <w:pPr>
        <w:spacing w:after="60"/>
        <w:ind w:firstLine="567"/>
        <w:jc w:val="both"/>
      </w:pPr>
      <w:r>
        <w:rPr>
          <w:rFonts w:ascii="Arial" w:cs="Arial" w:eastAsia="Arial" w:hAnsi="Arial"/>
          <w:sz w:val="24"/>
          <w:szCs w:val="24"/>
        </w:rPr>
        <w:t xml:space="preserve">- </w:t>
      </w:r>
      <w:hyperlink w:history="1" r:id="rIdvcarwonkynhiokk3l1xmo">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дополнить пунктами 17-3, 17-4, 17-5, 17-6 следующего содержания:</w:t>
      </w:r>
    </w:p>
    <w:p>
      <w:pPr>
        <w:spacing w:after="60"/>
        <w:ind w:firstLine="567"/>
        <w:jc w:val="both"/>
      </w:pPr>
      <w:r>
        <w:rPr>
          <w:rFonts w:ascii="Arial" w:cs="Arial" w:eastAsia="Arial" w:hAnsi="Arial"/>
          <w:sz w:val="24"/>
          <w:szCs w:val="24"/>
        </w:rPr>
        <w:t xml:space="preserve">"17-3. При анализе вторичных источников погашения активов следует учитывать, что это обычно влечет за собой задержку платежей, связанную с трудностью определения стоимости реализации залога, с судебными издержками и отсрочками. Эти факторы обычно приводят к тому, что конечная сумма платежа по долгу, полученная с привлечением вторичного источника, не соответствует ожиданиям.</w:t>
      </w:r>
    </w:p>
    <w:p>
      <w:pPr>
        <w:spacing w:after="60"/>
        <w:ind w:firstLine="567"/>
        <w:jc w:val="both"/>
      </w:pPr>
      <w:r>
        <w:rPr>
          <w:rFonts w:ascii="Arial" w:cs="Arial" w:eastAsia="Arial" w:hAnsi="Arial"/>
          <w:sz w:val="24"/>
          <w:szCs w:val="24"/>
        </w:rPr>
        <w:t xml:space="preserve">17-4. Если банк полагается полностью на лицо, выступающее в качестве поручителя или гаранта, как на вторичный источник погашения, то банк должен иметь полную информацию о финансовом положении данного лица для оценки его способности погасить задолженность в случае необходимости. Если указанное лицо стало единственным источником погашения задолженности, при классификации должны быть учтены не только его платежеспособность, но и желание погасить гарантированный им актив, которое должно быть оформлено в соответствующем документе. Если информация о гаранте является недостоверной или вообще отсутствует, то такая гарантия не должна приниматься во внимание при классификации актива.</w:t>
      </w:r>
    </w:p>
    <w:p>
      <w:pPr>
        <w:spacing w:after="60"/>
        <w:ind w:firstLine="567"/>
        <w:jc w:val="both"/>
      </w:pPr>
      <w:r>
        <w:rPr>
          <w:rFonts w:ascii="Arial" w:cs="Arial" w:eastAsia="Arial" w:hAnsi="Arial"/>
          <w:sz w:val="24"/>
          <w:szCs w:val="24"/>
        </w:rPr>
        <w:t xml:space="preserve">17-5. Значительное отклонение от первоначального источника погашения является достаточным основанием классификации так же, как и неконкретные условия погашения или просрочка актива. Однако не все просроченные активы могут быть подвергнуты классификации. Актив может быть просрочен, но если в то же время он имеет обеспечение заложенными в банке денежными средствами или государственными ценными бумагами, которые еще не были погашены, то такой актив может быть признан неклассифицируемым.</w:t>
      </w:r>
    </w:p>
    <w:p>
      <w:pPr>
        <w:spacing w:after="60"/>
        <w:ind w:firstLine="567"/>
        <w:jc w:val="both"/>
      </w:pPr>
      <w:r>
        <w:rPr>
          <w:rFonts w:ascii="Arial" w:cs="Arial" w:eastAsia="Arial" w:hAnsi="Arial"/>
          <w:sz w:val="24"/>
          <w:szCs w:val="24"/>
        </w:rPr>
        <w:t xml:space="preserve">17-6. Выраженное в письменной форме намерение и способность клиента выполнить свои обязательства по договору является первичным критерием оценки риска актива. Это подразумевает, что клиент должен иметь доходы или ликвидные активы, достаточные для сокращения или погашения самой задолженности перед банком в соответствии с договоренностью в разумные и предсказуемые сроки.".</w:t>
      </w:r>
    </w:p>
    <w:p>
      <w:pPr>
        <w:spacing w:after="60"/>
        <w:ind w:firstLine="567"/>
        <w:jc w:val="both"/>
      </w:pPr>
      <w:r>
        <w:rPr>
          <w:rFonts w:ascii="Arial" w:cs="Arial" w:eastAsia="Arial" w:hAnsi="Arial"/>
          <w:sz w:val="24"/>
          <w:szCs w:val="24"/>
        </w:rPr>
        <w:t xml:space="preserve">2. Внести в </w:t>
      </w:r>
      <w:hyperlink w:history="1" r:id="rIdaqeyxkk5ib6rghmytlyc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vjvyi71rxajb4nw6wadh2">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минимальных требованиях по управлению кредитным риском при осуществлении операций в соответствии с исламскими принципами банковского дела и финансирования" от 25 сентября 2013 года № 35/13 следующие изменения:</w:t>
      </w:r>
    </w:p>
    <w:p>
      <w:pPr>
        <w:spacing w:after="60"/>
        <w:ind w:firstLine="567"/>
        <w:jc w:val="both"/>
      </w:pPr>
      <w:r>
        <w:rPr>
          <w:rFonts w:ascii="Arial" w:cs="Arial" w:eastAsia="Arial" w:hAnsi="Arial"/>
          <w:sz w:val="24"/>
          <w:szCs w:val="24"/>
        </w:rPr>
        <w:t xml:space="preserve">в </w:t>
      </w:r>
      <w:hyperlink w:history="1" r:id="rIdl-7zkybzykkygg9w5ff2v">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минимальных требованиях по управлению кредитным риском при осуществлении операций в соответствии с исламскими принципами банковского дела и финансирования", утвержденном вышеуказанным </w:t>
      </w:r>
      <w:hyperlink w:history="1" r:id="rIdyfc6hjydxc741cltugoi1">
        <w:r>
          <w:rPr>
            <w:rFonts w:ascii="Arial" w:cs="Arial" w:eastAsia="Arial" w:hAnsi="Arial"/>
            <w:color w:val="1D4ED8"/>
            <w:sz w:val="24"/>
            <w:szCs w:val="24"/>
            <w:u w:val="single"/>
          </w:rPr>
          <w:t xml:space="preserve">постановлением:</w:t>
        </w:r>
      </w:hyperlink>
    </w:p>
    <w:p>
      <w:pPr>
        <w:spacing w:after="60"/>
        <w:ind w:firstLine="567"/>
        <w:jc w:val="both"/>
      </w:pPr>
      <w:r>
        <w:rPr>
          <w:rFonts w:ascii="Arial" w:cs="Arial" w:eastAsia="Arial" w:hAnsi="Arial"/>
          <w:sz w:val="24"/>
          <w:szCs w:val="24"/>
        </w:rPr>
        <w:t xml:space="preserve">- пункт 2-1 изложить в следующей редакции:</w:t>
      </w:r>
    </w:p>
    <w:p>
      <w:pPr>
        <w:spacing w:after="60"/>
        <w:ind w:firstLine="567"/>
        <w:jc w:val="both"/>
      </w:pPr>
      <w:r>
        <w:rPr>
          <w:rFonts w:ascii="Arial" w:cs="Arial" w:eastAsia="Arial" w:hAnsi="Arial"/>
          <w:sz w:val="24"/>
          <w:szCs w:val="24"/>
        </w:rPr>
        <w:t xml:space="preserve">"2-1. Данное Положение также распространяется на другие активы, несущие в себе кредитный риск (в том числе корреспондентские счета, ценные бумаги, межбанковские размещения и т.п.).";</w:t>
      </w:r>
    </w:p>
    <w:p>
      <w:pPr>
        <w:spacing w:after="60"/>
        <w:ind w:firstLine="567"/>
        <w:jc w:val="both"/>
      </w:pPr>
      <w:r>
        <w:rPr>
          <w:rFonts w:ascii="Arial" w:cs="Arial" w:eastAsia="Arial" w:hAnsi="Arial"/>
          <w:sz w:val="24"/>
          <w:szCs w:val="24"/>
        </w:rPr>
        <w:t xml:space="preserve">- </w:t>
      </w:r>
      <w:hyperlink w:history="1" r:id="rIdxqixfqxsjfhgetahailqq">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дополнить пунктом 3-2 следующего содержания:</w:t>
      </w:r>
    </w:p>
    <w:p>
      <w:pPr>
        <w:spacing w:after="60"/>
        <w:ind w:firstLine="567"/>
        <w:jc w:val="both"/>
      </w:pPr>
      <w:r>
        <w:rPr>
          <w:rFonts w:ascii="Arial" w:cs="Arial" w:eastAsia="Arial" w:hAnsi="Arial"/>
          <w:sz w:val="24"/>
          <w:szCs w:val="24"/>
        </w:rPr>
        <w:t xml:space="preserve">"3-2. Бланковые активы - это активы, несущие в себе кредитный риск, обеспечением по которому не является недвижимое имущество, движимое имущество, гарантии или поручительство и иные инструменты, рассматриваемые при классификации активов в качестве обеспечения, за исключением овердрафтов по платежным картам в рамках зарплатных проектов, и выдаются только платежеспособному клиенту/партнеру на основании его репутации и оценки уровня его доходов.";</w:t>
      </w:r>
    </w:p>
    <w:p>
      <w:pPr>
        <w:spacing w:after="60"/>
        <w:ind w:firstLine="567"/>
        <w:jc w:val="both"/>
      </w:pPr>
      <w:r>
        <w:rPr>
          <w:rFonts w:ascii="Arial" w:cs="Arial" w:eastAsia="Arial" w:hAnsi="Arial"/>
          <w:sz w:val="24"/>
          <w:szCs w:val="24"/>
        </w:rPr>
        <w:t xml:space="preserve">- в пункте 4:</w:t>
      </w:r>
    </w:p>
    <w:p>
      <w:pPr>
        <w:spacing w:after="60"/>
        <w:ind w:firstLine="567"/>
        <w:jc w:val="both"/>
      </w:pPr>
      <w:r>
        <w:rPr>
          <w:rFonts w:ascii="Arial" w:cs="Arial" w:eastAsia="Arial" w:hAnsi="Arial"/>
          <w:sz w:val="24"/>
          <w:szCs w:val="24"/>
        </w:rPr>
        <w:t xml:space="preserve">в абзаце первом слова "</w:t>
      </w:r>
      <w:hyperlink w:history="1" r:id="rIdqppckowg7jb-8m5llhs2d">
        <w:r>
          <w:rPr>
            <w:rFonts w:ascii="Arial" w:cs="Arial" w:eastAsia="Arial" w:hAnsi="Arial"/>
            <w:color w:val="1D4ED8"/>
            <w:sz w:val="24"/>
            <w:szCs w:val="24"/>
            <w:u w:val="single"/>
          </w:rPr>
          <w:t xml:space="preserve">Законе</w:t>
        </w:r>
      </w:hyperlink>
      <w:r>
        <w:rPr>
          <w:rFonts w:ascii="Arial" w:cs="Arial" w:eastAsia="Arial" w:hAnsi="Arial"/>
          <w:sz w:val="24"/>
          <w:szCs w:val="24"/>
        </w:rPr>
        <w:t xml:space="preserve"> Кыргызской Республики "Об операциях в иностранной валюте" заменить словами "законодательстве Кыргызской Республики";</w:t>
      </w:r>
    </w:p>
    <w:p>
      <w:pPr>
        <w:spacing w:after="60"/>
        <w:ind w:firstLine="567"/>
        <w:jc w:val="both"/>
      </w:pPr>
      <w:r>
        <w:rPr>
          <w:rFonts w:ascii="Arial" w:cs="Arial" w:eastAsia="Arial" w:hAnsi="Arial"/>
          <w:sz w:val="24"/>
          <w:szCs w:val="24"/>
        </w:rPr>
        <w:t xml:space="preserve">пункт дополнить абзацем третьим следующего содержания:</w:t>
      </w:r>
    </w:p>
    <w:p>
      <w:pPr>
        <w:spacing w:after="60"/>
        <w:ind w:firstLine="567"/>
        <w:jc w:val="both"/>
      </w:pPr>
      <w:r>
        <w:rPr>
          <w:rFonts w:ascii="Arial" w:cs="Arial" w:eastAsia="Arial" w:hAnsi="Arial"/>
          <w:sz w:val="24"/>
          <w:szCs w:val="24"/>
        </w:rPr>
        <w:t xml:space="preserve">"Контрактное финансирование представляет собой актив, несущий в себе кредитный риск, в виде краткосрочного финансирования (до одного года) оборотного капитала для исполнения обязательств клиента/партнера по договору с контрагентами.";</w:t>
      </w:r>
    </w:p>
    <w:p>
      <w:pPr>
        <w:spacing w:after="60"/>
        <w:ind w:firstLine="567"/>
        <w:jc w:val="both"/>
      </w:pPr>
      <w:r>
        <w:rPr>
          <w:rFonts w:ascii="Arial" w:cs="Arial" w:eastAsia="Arial" w:hAnsi="Arial"/>
          <w:sz w:val="24"/>
          <w:szCs w:val="24"/>
        </w:rPr>
        <w:t xml:space="preserve">- наименование </w:t>
      </w:r>
      <w:hyperlink w:history="1" r:id="rIdsf3cvuvwi94cm3riznr-u">
        <w:r>
          <w:rPr>
            <w:rFonts w:ascii="Arial" w:cs="Arial" w:eastAsia="Arial" w:hAnsi="Arial"/>
            <w:color w:val="1D4ED8"/>
            <w:sz w:val="24"/>
            <w:szCs w:val="24"/>
            <w:u w:val="single"/>
          </w:rPr>
          <w:t xml:space="preserve">главы 2</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w:t>
      </w:r>
      <w:hyperlink w:history="1" r:id="rIdtk-lllmqgss-v-oq1v72c">
        <w:r>
          <w:rPr>
            <w:rFonts w:ascii="Arial" w:cs="Arial" w:eastAsia="Arial" w:hAnsi="Arial"/>
            <w:color w:val="1D4ED8"/>
            <w:sz w:val="24"/>
            <w:szCs w:val="24"/>
            <w:u w:val="single"/>
          </w:rPr>
          <w:t xml:space="preserve">Глава 2</w:t>
        </w:r>
      </w:hyperlink>
      <w:r>
        <w:rPr>
          <w:rFonts w:ascii="Arial" w:cs="Arial" w:eastAsia="Arial" w:hAnsi="Arial"/>
          <w:sz w:val="24"/>
          <w:szCs w:val="24"/>
        </w:rPr>
        <w:t xml:space="preserve">. Политика банка по осуществлению операций по исламским принципам финансирования и стратегия финансирования банка";</w:t>
      </w:r>
    </w:p>
    <w:p>
      <w:pPr>
        <w:spacing w:after="60"/>
        <w:ind w:firstLine="567"/>
        <w:jc w:val="both"/>
      </w:pPr>
      <w:r>
        <w:rPr>
          <w:rFonts w:ascii="Arial" w:cs="Arial" w:eastAsia="Arial" w:hAnsi="Arial"/>
          <w:sz w:val="24"/>
          <w:szCs w:val="24"/>
        </w:rPr>
        <w:t xml:space="preserve">- пункт 7 дополнить абзацем вторым следующего содержания:</w:t>
      </w:r>
    </w:p>
    <w:p>
      <w:pPr>
        <w:spacing w:after="60"/>
        <w:ind w:firstLine="567"/>
        <w:jc w:val="both"/>
      </w:pPr>
      <w:r>
        <w:rPr>
          <w:rFonts w:ascii="Arial" w:cs="Arial" w:eastAsia="Arial" w:hAnsi="Arial"/>
          <w:sz w:val="24"/>
          <w:szCs w:val="24"/>
        </w:rPr>
        <w:t xml:space="preserve">"Стратегия финансирования может быть включена в бизнес-план банка отдельным/дополнительным разделом.";</w:t>
      </w:r>
    </w:p>
    <w:p>
      <w:pPr>
        <w:spacing w:after="60"/>
        <w:ind w:firstLine="567"/>
        <w:jc w:val="both"/>
      </w:pPr>
      <w:r>
        <w:rPr>
          <w:rFonts w:ascii="Arial" w:cs="Arial" w:eastAsia="Arial" w:hAnsi="Arial"/>
          <w:sz w:val="24"/>
          <w:szCs w:val="24"/>
        </w:rPr>
        <w:t xml:space="preserve">- </w:t>
      </w:r>
      <w:hyperlink w:history="1" r:id="rIdohivlnl4u1nm0grv1nd8f">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дополнить пунктами 7-1, 7-2, 7-3 следующего содержания:</w:t>
      </w:r>
    </w:p>
    <w:p>
      <w:pPr>
        <w:spacing w:after="60"/>
        <w:ind w:firstLine="567"/>
        <w:jc w:val="both"/>
      </w:pPr>
      <w:r>
        <w:rPr>
          <w:rFonts w:ascii="Arial" w:cs="Arial" w:eastAsia="Arial" w:hAnsi="Arial"/>
          <w:sz w:val="24"/>
          <w:szCs w:val="24"/>
        </w:rPr>
        <w:t xml:space="preserve">"7-1. Стратегия финансирования должна как минимум учитывать и включать в себя следующее:</w:t>
      </w:r>
    </w:p>
    <w:p>
      <w:pPr>
        <w:spacing w:after="60"/>
        <w:ind w:firstLine="567"/>
        <w:jc w:val="both"/>
      </w:pPr>
      <w:r>
        <w:rPr>
          <w:rFonts w:ascii="Arial" w:cs="Arial" w:eastAsia="Arial" w:hAnsi="Arial"/>
          <w:sz w:val="24"/>
          <w:szCs w:val="24"/>
        </w:rPr>
        <w:t xml:space="preserve">- целевые рынки финансирования и их общие характеристики, которые банк планирует достичь (в том числе уровень диверсификации, планируемые показатели при оценке качества портфеля финансирования и т.д.);</w:t>
      </w:r>
    </w:p>
    <w:p>
      <w:pPr>
        <w:spacing w:after="60"/>
        <w:ind w:firstLine="567"/>
        <w:jc w:val="both"/>
      </w:pPr>
      <w:r>
        <w:rPr>
          <w:rFonts w:ascii="Arial" w:cs="Arial" w:eastAsia="Arial" w:hAnsi="Arial"/>
          <w:sz w:val="24"/>
          <w:szCs w:val="24"/>
        </w:rPr>
        <w:t xml:space="preserve">- основные источники финансирования (банку необходимо указать источники финансирования, за счет каких средств планируется выдавать финансирование, увеличивать портфель финансирования);</w:t>
      </w:r>
    </w:p>
    <w:p>
      <w:pPr>
        <w:spacing w:after="60"/>
        <w:ind w:firstLine="567"/>
        <w:jc w:val="both"/>
      </w:pPr>
      <w:r>
        <w:rPr>
          <w:rFonts w:ascii="Arial" w:cs="Arial" w:eastAsia="Arial" w:hAnsi="Arial"/>
          <w:sz w:val="24"/>
          <w:szCs w:val="24"/>
        </w:rPr>
        <w:t xml:space="preserve">- требование о проведении анализа косвенно-валютного риска;</w:t>
      </w:r>
    </w:p>
    <w:p>
      <w:pPr>
        <w:spacing w:after="60"/>
        <w:ind w:firstLine="567"/>
        <w:jc w:val="both"/>
      </w:pPr>
      <w:r>
        <w:rPr>
          <w:rFonts w:ascii="Arial" w:cs="Arial" w:eastAsia="Arial" w:hAnsi="Arial"/>
          <w:sz w:val="24"/>
          <w:szCs w:val="24"/>
        </w:rPr>
        <w:t xml:space="preserve">- соотношение доли активов, несущих в себе кредитный риск, к активам банка;</w:t>
      </w:r>
    </w:p>
    <w:p>
      <w:pPr>
        <w:spacing w:after="60"/>
        <w:ind w:firstLine="567"/>
        <w:jc w:val="both"/>
      </w:pPr>
      <w:r>
        <w:rPr>
          <w:rFonts w:ascii="Arial" w:cs="Arial" w:eastAsia="Arial" w:hAnsi="Arial"/>
          <w:sz w:val="24"/>
          <w:szCs w:val="24"/>
        </w:rPr>
        <w:t xml:space="preserve">- рыночные условия и финансовое состояние банка, а также его риск-аппетит;</w:t>
      </w:r>
    </w:p>
    <w:p>
      <w:pPr>
        <w:spacing w:after="60"/>
        <w:ind w:firstLine="567"/>
        <w:jc w:val="both"/>
      </w:pPr>
      <w:r>
        <w:rPr>
          <w:rFonts w:ascii="Arial" w:cs="Arial" w:eastAsia="Arial" w:hAnsi="Arial"/>
          <w:sz w:val="24"/>
          <w:szCs w:val="24"/>
        </w:rPr>
        <w:t xml:space="preserve">- ожидаемую норму прибыли и размер капитала банка;</w:t>
      </w:r>
    </w:p>
    <w:p>
      <w:pPr>
        <w:spacing w:after="60"/>
        <w:ind w:firstLine="567"/>
        <w:jc w:val="both"/>
      </w:pPr>
      <w:r>
        <w:rPr>
          <w:rFonts w:ascii="Arial" w:cs="Arial" w:eastAsia="Arial" w:hAnsi="Arial"/>
          <w:sz w:val="24"/>
          <w:szCs w:val="24"/>
        </w:rPr>
        <w:t xml:space="preserve">- возможные издержки, связанные с возвратом активов, подверженных кредитному риску;</w:t>
      </w:r>
    </w:p>
    <w:p>
      <w:pPr>
        <w:spacing w:after="60"/>
        <w:ind w:firstLine="567"/>
        <w:jc w:val="both"/>
      </w:pPr>
      <w:r>
        <w:rPr>
          <w:rFonts w:ascii="Arial" w:cs="Arial" w:eastAsia="Arial" w:hAnsi="Arial"/>
          <w:sz w:val="24"/>
          <w:szCs w:val="24"/>
        </w:rPr>
        <w:t xml:space="preserve">- краткосрочные/среднесрочные/долгосрочные планы банка;</w:t>
      </w:r>
    </w:p>
    <w:p>
      <w:pPr>
        <w:spacing w:after="60"/>
        <w:ind w:firstLine="567"/>
        <w:jc w:val="both"/>
      </w:pPr>
      <w:r>
        <w:rPr>
          <w:rFonts w:ascii="Arial" w:cs="Arial" w:eastAsia="Arial" w:hAnsi="Arial"/>
          <w:sz w:val="24"/>
          <w:szCs w:val="24"/>
        </w:rPr>
        <w:t xml:space="preserve">- требование о проведении анализа портфеля финансирования, который будет осуществляться на основе действующего портфеля финансирования банка. В дополнение к этому банк должен иметь методологию проведения такого анализа, которая позволит оценивать кредитный риск и косвенно-валютный риск;</w:t>
      </w:r>
    </w:p>
    <w:p>
      <w:pPr>
        <w:spacing w:after="60"/>
        <w:ind w:firstLine="567"/>
        <w:jc w:val="both"/>
      </w:pPr>
      <w:r>
        <w:rPr>
          <w:rFonts w:ascii="Arial" w:cs="Arial" w:eastAsia="Arial" w:hAnsi="Arial"/>
          <w:sz w:val="24"/>
          <w:szCs w:val="24"/>
        </w:rPr>
        <w:t xml:space="preserve">- актуальные адекватные экономические показатели банка;</w:t>
      </w:r>
    </w:p>
    <w:p>
      <w:pPr>
        <w:spacing w:after="60"/>
        <w:ind w:firstLine="567"/>
        <w:jc w:val="both"/>
      </w:pPr>
      <w:r>
        <w:rPr>
          <w:rFonts w:ascii="Arial" w:cs="Arial" w:eastAsia="Arial" w:hAnsi="Arial"/>
          <w:sz w:val="24"/>
          <w:szCs w:val="24"/>
        </w:rPr>
        <w:t xml:space="preserve">- организационную структуру банка, технические возможности и потенциал (квалификации, штатная численность) персонала и руководства банка, ответственных за деятельность финансирования банка. Соответствующий персонал должен быть проинформирован о стратегии финансирования и обеспечивать ясность стратегии финансирования банка.</w:t>
      </w:r>
    </w:p>
    <w:p>
      <w:pPr>
        <w:spacing w:after="60"/>
        <w:ind w:firstLine="567"/>
        <w:jc w:val="both"/>
      </w:pPr>
      <w:r>
        <w:rPr>
          <w:rFonts w:ascii="Arial" w:cs="Arial" w:eastAsia="Arial" w:hAnsi="Arial"/>
          <w:sz w:val="24"/>
          <w:szCs w:val="24"/>
        </w:rPr>
        <w:t xml:space="preserve">7-2. Совет директоров периодически, но не реже одного раза в год, рассматривает финансовые и экономические показатели, влияющие или предусмотренные, заложенные в стратегии финансирования, и при необходимости вносит необходимые изменения.</w:t>
      </w:r>
    </w:p>
    <w:p>
      <w:pPr>
        <w:spacing w:after="60"/>
        <w:ind w:firstLine="567"/>
        <w:jc w:val="both"/>
      </w:pPr>
      <w:r>
        <w:rPr>
          <w:rFonts w:ascii="Arial" w:cs="Arial" w:eastAsia="Arial" w:hAnsi="Arial"/>
          <w:sz w:val="24"/>
          <w:szCs w:val="24"/>
        </w:rPr>
        <w:t xml:space="preserve">7-3. Совет директоров банка должен обеспечивать, чтобы политика по назначениям и вознаграждениям в банке не противоречила стратегии по управлению кредитным риском.";</w:t>
      </w:r>
    </w:p>
    <w:p>
      <w:pPr>
        <w:spacing w:after="60"/>
        <w:ind w:firstLine="567"/>
        <w:jc w:val="both"/>
      </w:pPr>
      <w:r>
        <w:rPr>
          <w:rFonts w:ascii="Arial" w:cs="Arial" w:eastAsia="Arial" w:hAnsi="Arial"/>
          <w:sz w:val="24"/>
          <w:szCs w:val="24"/>
        </w:rPr>
        <w:t xml:space="preserve">- в абзаце первом пункта 11 слова "Политики и стратегии банка" заменить словами "Политики и стратегии финансирования банка";</w:t>
      </w:r>
    </w:p>
    <w:p>
      <w:pPr>
        <w:spacing w:after="60"/>
        <w:ind w:firstLine="567"/>
        <w:jc w:val="both"/>
      </w:pPr>
      <w:r>
        <w:rPr>
          <w:rFonts w:ascii="Arial" w:cs="Arial" w:eastAsia="Arial" w:hAnsi="Arial"/>
          <w:sz w:val="24"/>
          <w:szCs w:val="24"/>
        </w:rPr>
        <w:t xml:space="preserve">- пункт 12 изложить в следующей редакции:</w:t>
      </w:r>
    </w:p>
    <w:p>
      <w:pPr>
        <w:spacing w:after="60"/>
        <w:ind w:firstLine="567"/>
        <w:jc w:val="both"/>
      </w:pPr>
      <w:r>
        <w:rPr>
          <w:rFonts w:ascii="Arial" w:cs="Arial" w:eastAsia="Arial" w:hAnsi="Arial"/>
          <w:sz w:val="24"/>
          <w:szCs w:val="24"/>
        </w:rPr>
        <w:t xml:space="preserve">"12. Совет директоров банка обязан пересматривать Политику банка на ее адекватность, системы лимитов, инструментов и процедур управления кредитным риском, систему внутреннего аудита по управлению кредитными рисками, а также при необходимости, по мере изменений в профиле риска банка, нормативных правовых актах Национального банка, организационной структуре и кадровом составе банка, оказывающих влияние на процесс финансирования, в том числе изменений, происходящих в экономике республики и странах, где есть деловые связи у банка и его клиентов/партнеров, влияющих на процесс финансирования, но не реже чем один раз в год.</w:t>
      </w:r>
    </w:p>
    <w:p>
      <w:pPr>
        <w:spacing w:after="60"/>
        <w:ind w:firstLine="567"/>
        <w:jc w:val="both"/>
      </w:pPr>
      <w:r>
        <w:rPr>
          <w:rFonts w:ascii="Arial" w:cs="Arial" w:eastAsia="Arial" w:hAnsi="Arial"/>
          <w:sz w:val="24"/>
          <w:szCs w:val="24"/>
        </w:rPr>
        <w:t xml:space="preserve">Все вопросы, касающиеся выдачи активов, несущих в себе кредитный риск, должны решаться только Комитетом банка по финансированию либо лицами, которым комитет в соответствии с нормативными правовыми актами вправе делегировать данное право, за исключением вопросов, относящихся к компетенции совета директоров банка.</w:t>
      </w:r>
    </w:p>
    <w:p>
      <w:pPr>
        <w:spacing w:after="60"/>
        <w:ind w:firstLine="567"/>
        <w:jc w:val="both"/>
      </w:pPr>
      <w:r>
        <w:rPr>
          <w:rFonts w:ascii="Arial" w:cs="Arial" w:eastAsia="Arial" w:hAnsi="Arial"/>
          <w:sz w:val="24"/>
          <w:szCs w:val="24"/>
        </w:rPr>
        <w:t xml:space="preserve">Право выдачи активов, несущих в себе кредитный риск, должно быть разделено на несколько уровней должностных лиц, и эти лица несут ответственность в соответствии с законодательством Кыргызской Республики за нарушения, допущенные ими при финансировании.</w:t>
      </w:r>
    </w:p>
    <w:p>
      <w:pPr>
        <w:spacing w:after="60"/>
        <w:ind w:firstLine="567"/>
        <w:jc w:val="both"/>
      </w:pPr>
      <w:r>
        <w:rPr>
          <w:rFonts w:ascii="Arial" w:cs="Arial" w:eastAsia="Arial" w:hAnsi="Arial"/>
          <w:sz w:val="24"/>
          <w:szCs w:val="24"/>
        </w:rPr>
        <w:t xml:space="preserve">Выдача активов, несущих крупный риск, и активов, несущих в себе кредитный риск, связанным с банком лицам/аффилированным лицам банка должна быть одобрена советом директоров банка и соответствовать требованиям нормативных правовых актов Национального банка. Совет директоров банка несет ответственность за одобрение решений о выдаче активов, несущих крупный риск, активов, несущих в себе кредитный риск, связанным с банком лицам/аффилированным лицам банка, трансграничных активов, включая активы, обеспеченные залогом, находящимся за пределами Кыргызской Республики, которые выданы с нарушениями требований нормативных правовых актов Национального банка и/или по которым банк понес потери.</w:t>
      </w:r>
    </w:p>
    <w:p>
      <w:pPr>
        <w:spacing w:after="60"/>
        <w:ind w:firstLine="567"/>
        <w:jc w:val="both"/>
      </w:pPr>
      <w:r>
        <w:rPr>
          <w:rFonts w:ascii="Arial" w:cs="Arial" w:eastAsia="Arial" w:hAnsi="Arial"/>
          <w:sz w:val="24"/>
          <w:szCs w:val="24"/>
        </w:rPr>
        <w:t xml:space="preserve">Одобрение совета директоров банка требуется также в случаях, если залог, находящийся за пределами Кыргызской Республики, выступает обеспечением по активу, несущему в себе кредитный риск более чем на 20% от суммы актива, несущего в себе кредитный риск. При этом под стоимостью залога понимается его ликвидационная стоимость в соответствии с нормативными правовыми актами Национального банка.</w:t>
      </w:r>
    </w:p>
    <w:p>
      <w:pPr>
        <w:spacing w:after="60"/>
        <w:ind w:firstLine="567"/>
        <w:jc w:val="both"/>
      </w:pPr>
      <w:r>
        <w:rPr>
          <w:rFonts w:ascii="Arial" w:cs="Arial" w:eastAsia="Arial" w:hAnsi="Arial"/>
          <w:sz w:val="24"/>
          <w:szCs w:val="24"/>
        </w:rPr>
        <w:t xml:space="preserve">Кроме того, в политике финансирования должны быть прописаны полномочия Комитета по финансированию и/или Правления по списанию и реструктуризации финансирования с указанием ограничений.</w:t>
      </w:r>
    </w:p>
    <w:p>
      <w:pPr>
        <w:spacing w:after="60"/>
        <w:ind w:firstLine="567"/>
        <w:jc w:val="both"/>
      </w:pPr>
      <w:r>
        <w:rPr>
          <w:rFonts w:ascii="Arial" w:cs="Arial" w:eastAsia="Arial" w:hAnsi="Arial"/>
          <w:sz w:val="24"/>
          <w:szCs w:val="24"/>
        </w:rPr>
        <w:t xml:space="preserve">Политика финансирования банка также должна содержать методики по оценке платежеспособности клиентов/партнеров. Для этих целей банк может разработать систему внутреннего рейтинга рисков по управлению кредитным риском. Система внутреннего рейтинга рисков должна соответствовать природе, размерам и сложности осуществляемых видов деятельности банка.</w:t>
      </w:r>
    </w:p>
    <w:p>
      <w:pPr>
        <w:spacing w:after="60"/>
        <w:ind w:firstLine="567"/>
        <w:jc w:val="both"/>
      </w:pPr>
      <w:r>
        <w:rPr>
          <w:rFonts w:ascii="Arial" w:cs="Arial" w:eastAsia="Arial" w:hAnsi="Arial"/>
          <w:sz w:val="24"/>
          <w:szCs w:val="24"/>
        </w:rPr>
        <w:t xml:space="preserve">Кроме того, банк обязан постоянно вести базу данных и журнал учета активов, несущих в себе кредитный риск, по которым при выдаче принимались нестандартные решения (индивидуальные наценки, структура залога и другое).</w:t>
      </w:r>
    </w:p>
    <w:p>
      <w:pPr>
        <w:spacing w:after="60"/>
        <w:ind w:firstLine="567"/>
        <w:jc w:val="both"/>
      </w:pPr>
      <w:r>
        <w:rPr>
          <w:rFonts w:ascii="Arial" w:cs="Arial" w:eastAsia="Arial" w:hAnsi="Arial"/>
          <w:sz w:val="24"/>
          <w:szCs w:val="24"/>
        </w:rPr>
        <w:t xml:space="preserve">Система внутреннего рейтинга рисков по управлению кредитным риском должна содержать комплексную оценку финансового состояния клиента/партнера, как основного показателя его будущей платежеспособности, и должна отражать раскрытие данных о клиентах/партнерах, указанных в § 1 и § 2 настоящего Положения.</w:t>
      </w:r>
    </w:p>
    <w:p>
      <w:pPr>
        <w:spacing w:after="60"/>
        <w:ind w:firstLine="567"/>
        <w:jc w:val="both"/>
      </w:pPr>
      <w:r>
        <w:rPr>
          <w:rFonts w:ascii="Arial" w:cs="Arial" w:eastAsia="Arial" w:hAnsi="Arial"/>
          <w:sz w:val="24"/>
          <w:szCs w:val="24"/>
        </w:rPr>
        <w:t xml:space="preserve">Рейтинг рисков по управлению кредитным риском - основной показатель качества актива, несущий в себе кредитный риск. Рейтинг рисков должен присваиваться на первоначальной стадии одобрения выдачи актива, несущего в себе кредитный риск, а также может присваиваться при последующем мониторинге актива, его продлении либо изменении условий договора финансирования или реструктуризации активов, несущих в себе кредитный риск. Разработанные рейтинги рисков, определяющие платежеспособность клиентов/партнеров, устанавливаются в виде алфавитных, числовых или альфа-числовых символов, которые указывают на риски при выдаче банком активов, несущих в себе кредитный риск. Банк присваивает рейтинг рисков с учетом определенных характеристик, связанных с клиентом/партнером и самим активом, несущим в себе кредитный риск.</w:t>
      </w:r>
    </w:p>
    <w:p>
      <w:pPr>
        <w:spacing w:after="60"/>
        <w:ind w:firstLine="567"/>
        <w:jc w:val="both"/>
      </w:pPr>
      <w:r>
        <w:rPr>
          <w:rFonts w:ascii="Arial" w:cs="Arial" w:eastAsia="Arial" w:hAnsi="Arial"/>
          <w:sz w:val="24"/>
          <w:szCs w:val="24"/>
        </w:rPr>
        <w:t xml:space="preserve">Подходы к анализу платежеспособности клиентов/партнеров при определении рейтинга рисков могут основываться на различных методах:</w:t>
      </w:r>
    </w:p>
    <w:p>
      <w:pPr>
        <w:spacing w:after="60"/>
        <w:ind w:firstLine="567"/>
        <w:jc w:val="both"/>
      </w:pPr>
      <w:r>
        <w:rPr>
          <w:rFonts w:ascii="Arial" w:cs="Arial" w:eastAsia="Arial" w:hAnsi="Arial"/>
          <w:sz w:val="24"/>
          <w:szCs w:val="24"/>
        </w:rPr>
        <w:t xml:space="preserve">- количественном - с использованием соответствующих показателей, которые позволяют определить рейтинг рисков (метод коэффициентов, рейтинговые модели, скоринговые модели);</w:t>
      </w:r>
    </w:p>
    <w:p>
      <w:pPr>
        <w:spacing w:after="60"/>
        <w:ind w:firstLine="567"/>
        <w:jc w:val="both"/>
      </w:pPr>
      <w:r>
        <w:rPr>
          <w:rFonts w:ascii="Arial" w:cs="Arial" w:eastAsia="Arial" w:hAnsi="Arial"/>
          <w:sz w:val="24"/>
          <w:szCs w:val="24"/>
        </w:rPr>
        <w:t xml:space="preserve">- прогнозном, который опирается на статистику прошлых лет и нацелен на моделирование жизнедеятельности актива клиента/партнера, несущего в себе кредитный риск, и вероятность его неплатежеспособности;</w:t>
      </w:r>
    </w:p>
    <w:p>
      <w:pPr>
        <w:spacing w:after="60"/>
        <w:ind w:firstLine="567"/>
        <w:jc w:val="both"/>
      </w:pPr>
      <w:r>
        <w:rPr>
          <w:rFonts w:ascii="Arial" w:cs="Arial" w:eastAsia="Arial" w:hAnsi="Arial"/>
          <w:sz w:val="24"/>
          <w:szCs w:val="24"/>
        </w:rPr>
        <w:t xml:space="preserve">- качественном, при котором используется система разносторонних качественных показателей.</w:t>
      </w:r>
    </w:p>
    <w:p>
      <w:pPr>
        <w:spacing w:after="60"/>
        <w:ind w:firstLine="567"/>
        <w:jc w:val="both"/>
      </w:pPr>
      <w:r>
        <w:rPr>
          <w:rFonts w:ascii="Arial" w:cs="Arial" w:eastAsia="Arial" w:hAnsi="Arial"/>
          <w:sz w:val="24"/>
          <w:szCs w:val="24"/>
        </w:rPr>
        <w:t xml:space="preserve">Банк в целях проведения эффективной оценки платежеспособности клиента/партнера при выдаче актива, несущего в себе кредитный риск, может разработать собственную модель, которая должна состоять из подходов, наиболее отвечающих требованиям к оценке клиентов/партнеров и активов, несущих в себе кредитный риск, предоставляемых банком. За основу могут быть взяты:</w:t>
      </w:r>
    </w:p>
    <w:p>
      <w:pPr>
        <w:spacing w:after="60"/>
        <w:ind w:firstLine="567"/>
        <w:jc w:val="both"/>
      </w:pPr>
      <w:r>
        <w:rPr>
          <w:rFonts w:ascii="Arial" w:cs="Arial" w:eastAsia="Arial" w:hAnsi="Arial"/>
          <w:sz w:val="24"/>
          <w:szCs w:val="24"/>
        </w:rPr>
        <w:t xml:space="preserve">- метод коэффициентов, позволяющий комплексно оценивать финансовое состояние клиентов/партнеров и качество активов, несущих в себе кредитный риск;</w:t>
      </w:r>
    </w:p>
    <w:p>
      <w:pPr>
        <w:spacing w:after="60"/>
        <w:ind w:firstLine="567"/>
        <w:jc w:val="both"/>
      </w:pPr>
      <w:r>
        <w:rPr>
          <w:rFonts w:ascii="Arial" w:cs="Arial" w:eastAsia="Arial" w:hAnsi="Arial"/>
          <w:sz w:val="24"/>
          <w:szCs w:val="24"/>
        </w:rPr>
        <w:t xml:space="preserve">- рейтинговую модель - автоматизированную оценку методом коэффициентов путем вычисления интегрального показателя, который является наиболее удобным и простым в использовании;</w:t>
      </w:r>
    </w:p>
    <w:p>
      <w:pPr>
        <w:spacing w:after="60"/>
        <w:ind w:firstLine="567"/>
        <w:jc w:val="both"/>
      </w:pPr>
      <w:r>
        <w:rPr>
          <w:rFonts w:ascii="Arial" w:cs="Arial" w:eastAsia="Arial" w:hAnsi="Arial"/>
          <w:sz w:val="24"/>
          <w:szCs w:val="24"/>
        </w:rPr>
        <w:t xml:space="preserve">- скоринговую модель - оценку платежеспособности в балльном эквиваленте путем отнесения клиента/партнера к определенной группе;</w:t>
      </w:r>
    </w:p>
    <w:p>
      <w:pPr>
        <w:spacing w:after="60"/>
        <w:ind w:firstLine="567"/>
        <w:jc w:val="both"/>
      </w:pPr>
      <w:r>
        <w:rPr>
          <w:rFonts w:ascii="Arial" w:cs="Arial" w:eastAsia="Arial" w:hAnsi="Arial"/>
          <w:sz w:val="24"/>
          <w:szCs w:val="24"/>
        </w:rPr>
        <w:t xml:space="preserve">- модель, основанную на оценке будущих денежных потоков с обязательствами клиента/партнера;</w:t>
      </w:r>
    </w:p>
    <w:p>
      <w:pPr>
        <w:spacing w:after="60"/>
        <w:ind w:firstLine="567"/>
        <w:jc w:val="both"/>
      </w:pPr>
      <w:r>
        <w:rPr>
          <w:rFonts w:ascii="Arial" w:cs="Arial" w:eastAsia="Arial" w:hAnsi="Arial"/>
          <w:sz w:val="24"/>
          <w:szCs w:val="24"/>
        </w:rPr>
        <w:t xml:space="preserve">- модель с использованием статистики прошлых лет и др.</w:t>
      </w:r>
    </w:p>
    <w:p>
      <w:pPr>
        <w:spacing w:after="60"/>
        <w:ind w:firstLine="567"/>
        <w:jc w:val="both"/>
      </w:pPr>
      <w:r>
        <w:rPr>
          <w:rFonts w:ascii="Arial" w:cs="Arial" w:eastAsia="Arial" w:hAnsi="Arial"/>
          <w:sz w:val="24"/>
          <w:szCs w:val="24"/>
        </w:rPr>
        <w:t xml:space="preserve">Система внутреннего рейтинга рисков может использоваться для принятия решения о выдаче финансирования; определения стоимости финансирования; содействия банку при мониторинге кредитного риска; создания резерва на покрытие потенциальных потерь и убытков; управления полученной и необходимой информацией; распределения финансирования, согласно шкале кредитного рейтинга, а также определения предыдущего положения и возможного будущего движения финансирования по шкале кредитного рейтинга; оценки общих рисков и тенденции в портфеле финансирования; внесения изменений в стратегию финансирования банка.</w:t>
      </w:r>
    </w:p>
    <w:p>
      <w:pPr>
        <w:spacing w:after="60"/>
        <w:ind w:firstLine="567"/>
        <w:jc w:val="both"/>
      </w:pPr>
      <w:r>
        <w:rPr>
          <w:rFonts w:ascii="Arial" w:cs="Arial" w:eastAsia="Arial" w:hAnsi="Arial"/>
          <w:sz w:val="24"/>
          <w:szCs w:val="24"/>
        </w:rPr>
        <w:t xml:space="preserve">Использование системы внутреннего кредитного рейтинга может позволить сформировать базу данных с историческими данными, которая будет оценивать определенные виды активов, несущих кредитный риск, по показателям кредитного рейтинга с течением времени, что может позволить банкам оценивать свой кредитный риск более точно.</w:t>
      </w:r>
    </w:p>
    <w:p>
      <w:pPr>
        <w:spacing w:after="60"/>
        <w:ind w:firstLine="567"/>
        <w:jc w:val="both"/>
      </w:pPr>
      <w:r>
        <w:rPr>
          <w:rFonts w:ascii="Arial" w:cs="Arial" w:eastAsia="Arial" w:hAnsi="Arial"/>
          <w:sz w:val="24"/>
          <w:szCs w:val="24"/>
        </w:rPr>
        <w:t xml:space="preserve">Система внутреннего рейтинга рисков в банке должна содержать распределение полномочий по:</w:t>
      </w:r>
    </w:p>
    <w:p>
      <w:pPr>
        <w:spacing w:after="60"/>
        <w:ind w:firstLine="567"/>
        <w:jc w:val="both"/>
      </w:pPr>
      <w:r>
        <w:rPr>
          <w:rFonts w:ascii="Arial" w:cs="Arial" w:eastAsia="Arial" w:hAnsi="Arial"/>
          <w:sz w:val="24"/>
          <w:szCs w:val="24"/>
        </w:rPr>
        <w:t xml:space="preserve">- присвоению первоначального рейтинга клиенту/партнеру (при поступлении заявки на финансирование);</w:t>
      </w:r>
    </w:p>
    <w:p>
      <w:pPr>
        <w:spacing w:after="60"/>
        <w:ind w:firstLine="567"/>
        <w:jc w:val="both"/>
      </w:pPr>
      <w:r>
        <w:rPr>
          <w:rFonts w:ascii="Arial" w:cs="Arial" w:eastAsia="Arial" w:hAnsi="Arial"/>
          <w:sz w:val="24"/>
          <w:szCs w:val="24"/>
        </w:rPr>
        <w:t xml:space="preserve">- анализу присвоенного рейтинга (при анализе всех документов по деятельности клиента, его платежеспособности и залоговому обеспечению);</w:t>
      </w:r>
    </w:p>
    <w:p>
      <w:pPr>
        <w:spacing w:after="60"/>
        <w:ind w:firstLine="567"/>
        <w:jc w:val="both"/>
      </w:pPr>
      <w:r>
        <w:rPr>
          <w:rFonts w:ascii="Arial" w:cs="Arial" w:eastAsia="Arial" w:hAnsi="Arial"/>
          <w:sz w:val="24"/>
          <w:szCs w:val="24"/>
        </w:rPr>
        <w:t xml:space="preserve">- окончательному одобрению выдачи финансирования.</w:t>
      </w:r>
    </w:p>
    <w:p>
      <w:pPr>
        <w:spacing w:after="60"/>
        <w:ind w:firstLine="567"/>
        <w:jc w:val="both"/>
      </w:pPr>
      <w:r>
        <w:rPr>
          <w:rFonts w:ascii="Arial" w:cs="Arial" w:eastAsia="Arial" w:hAnsi="Arial"/>
          <w:sz w:val="24"/>
          <w:szCs w:val="24"/>
        </w:rPr>
        <w:t xml:space="preserve">Решение по выдаче финансирования, согласно рейтингу рисков, принимается по финансированию физических лиц и индивидуальных предпринимателей в сумме до 100000 сомов.</w:t>
      </w:r>
    </w:p>
    <w:p>
      <w:pPr>
        <w:spacing w:after="60"/>
        <w:ind w:firstLine="567"/>
        <w:jc w:val="both"/>
      </w:pPr>
      <w:r>
        <w:rPr>
          <w:rFonts w:ascii="Arial" w:cs="Arial" w:eastAsia="Arial" w:hAnsi="Arial"/>
          <w:sz w:val="24"/>
          <w:szCs w:val="24"/>
        </w:rPr>
        <w:t xml:space="preserve">В дальнейшем по активам, несущим кредитный риск и выданным физическим лицам и индивидуальным предпринимателям в сумме до 100000 сомов, необходимо периодически проводить платежный мониторинг с периодичностью, согласно настоящему Положению, а также анализ присвоенных рейтингов рисков в целях мониторинга исполнения обязательств и выработки рекомендаций о внесении изменений в рейтинг, если необходимо.</w:t>
      </w:r>
    </w:p>
    <w:p>
      <w:pPr>
        <w:spacing w:after="60"/>
        <w:ind w:firstLine="567"/>
        <w:jc w:val="both"/>
      </w:pPr>
      <w:r>
        <w:rPr>
          <w:rFonts w:ascii="Arial" w:cs="Arial" w:eastAsia="Arial" w:hAnsi="Arial"/>
          <w:sz w:val="24"/>
          <w:szCs w:val="24"/>
        </w:rPr>
        <w:t xml:space="preserve">Во внутренних политиках банка должны быть требования по проверке фактов, свидетельствующих о том, что предмет залога является единственным жильем клиента/партнера/залогодателя на момент принятия решения о его взыскании во внесудебном порядке. В случае если на момент взыскания предмета залога заложенное недвижимое имущество является единственным жильем клиента/партнера/залогодателя, то обращение взыскания на это имущество должно осуществляться по решению суда.";</w:t>
      </w:r>
    </w:p>
    <w:p>
      <w:pPr>
        <w:spacing w:after="60"/>
        <w:ind w:firstLine="567"/>
        <w:jc w:val="both"/>
      </w:pPr>
      <w:r>
        <w:rPr>
          <w:rFonts w:ascii="Arial" w:cs="Arial" w:eastAsia="Arial" w:hAnsi="Arial"/>
          <w:sz w:val="24"/>
          <w:szCs w:val="24"/>
        </w:rPr>
        <w:t xml:space="preserve">- пункт 12-1 изложить в следующей редакции:</w:t>
      </w:r>
    </w:p>
    <w:p>
      <w:pPr>
        <w:spacing w:after="60"/>
        <w:ind w:firstLine="567"/>
        <w:jc w:val="both"/>
      </w:pPr>
      <w:r>
        <w:rPr>
          <w:rFonts w:ascii="Arial" w:cs="Arial" w:eastAsia="Arial" w:hAnsi="Arial"/>
          <w:sz w:val="24"/>
          <w:szCs w:val="24"/>
        </w:rPr>
        <w:t xml:space="preserve">"12-1. Внутренний аудит системы внутреннего рейтинга рисков по управлению кредитным риском должен проводиться ежегодно для определения соответствия деятельности банка по финансированию стратегии финансирования, политике банка и выявления недостатков в процессе управления кредитным риском, в политике финансирования и в процедурах по финансированию.</w:t>
      </w:r>
    </w:p>
    <w:p>
      <w:pPr>
        <w:spacing w:after="60"/>
        <w:ind w:firstLine="567"/>
        <w:jc w:val="both"/>
      </w:pPr>
      <w:r>
        <w:rPr>
          <w:rFonts w:ascii="Arial" w:cs="Arial" w:eastAsia="Arial" w:hAnsi="Arial"/>
          <w:sz w:val="24"/>
          <w:szCs w:val="24"/>
        </w:rPr>
        <w:t xml:space="preserve">Также банку необходимо в рамках внутреннего аудита оценивать систему внутреннего контроля кредитного риска, обусловленного валютным риском, в том числе классификацию активов, несущих в себе кредитный риск/активов в соответствии с установленными требованиями Национального банка.</w:t>
      </w:r>
    </w:p>
    <w:p>
      <w:pPr>
        <w:spacing w:after="60"/>
        <w:ind w:firstLine="567"/>
        <w:jc w:val="both"/>
      </w:pPr>
      <w:r>
        <w:rPr>
          <w:rFonts w:ascii="Arial" w:cs="Arial" w:eastAsia="Arial" w:hAnsi="Arial"/>
          <w:sz w:val="24"/>
          <w:szCs w:val="24"/>
        </w:rPr>
        <w:t xml:space="preserve">Информация по последующему исполнению корректирующих мероприятий по недостаткам, выявленным в результате внутреннего аудита системы внутреннего контроля кредитного риска, должны периодически, но не реже одного раза в полгода, передаваться совету директоров банка и как минимум не реже одного раза в квартал - в Комитет по аудиту.";</w:t>
      </w:r>
    </w:p>
    <w:p>
      <w:pPr>
        <w:spacing w:after="60"/>
        <w:ind w:firstLine="567"/>
        <w:jc w:val="both"/>
      </w:pPr>
      <w:r>
        <w:rPr>
          <w:rFonts w:ascii="Arial" w:cs="Arial" w:eastAsia="Arial" w:hAnsi="Arial"/>
          <w:sz w:val="24"/>
          <w:szCs w:val="24"/>
        </w:rPr>
        <w:t xml:space="preserve">- пункт 28 признать утратившим силу;</w:t>
      </w:r>
    </w:p>
    <w:p>
      <w:pPr>
        <w:spacing w:after="60"/>
        <w:ind w:firstLine="567"/>
        <w:jc w:val="both"/>
      </w:pPr>
      <w:r>
        <w:rPr>
          <w:rFonts w:ascii="Arial" w:cs="Arial" w:eastAsia="Arial" w:hAnsi="Arial"/>
          <w:sz w:val="24"/>
          <w:szCs w:val="24"/>
        </w:rPr>
        <w:t xml:space="preserve">- в пункте 29:</w:t>
      </w:r>
    </w:p>
    <w:p>
      <w:pPr>
        <w:spacing w:after="60"/>
        <w:ind w:firstLine="567"/>
        <w:jc w:val="both"/>
      </w:pPr>
      <w:r>
        <w:rPr>
          <w:rFonts w:ascii="Arial" w:cs="Arial" w:eastAsia="Arial" w:hAnsi="Arial"/>
          <w:sz w:val="24"/>
          <w:szCs w:val="24"/>
        </w:rPr>
        <w:t xml:space="preserve">абзац пятый изложить в следующей редакции:</w:t>
      </w:r>
    </w:p>
    <w:p>
      <w:pPr>
        <w:spacing w:after="60"/>
        <w:ind w:firstLine="567"/>
        <w:jc w:val="both"/>
      </w:pPr>
      <w:r>
        <w:rPr>
          <w:rFonts w:ascii="Arial" w:cs="Arial" w:eastAsia="Arial" w:hAnsi="Arial"/>
          <w:sz w:val="24"/>
          <w:szCs w:val="24"/>
        </w:rPr>
        <w:t xml:space="preserve">"- документ из государственных органов о регистрации (если клиент/партнер - юридическое лицо или физическое лицо, осуществляющее предпринимательскую деятельность на основе свидетельства или патента) за исключением физических лиц - сельскохозяйственных производителей, которым выдано финансирование в размере не более 250000 сомов с предоставлением документов, удостоверяющих право землепользования или документов о наличии скота, а также лиц, которым выдано финансирование в рамках правительственных программ, направленных на развитие сельского хозяйства.";</w:t>
      </w:r>
    </w:p>
    <w:p>
      <w:pPr>
        <w:spacing w:after="60"/>
        <w:ind w:firstLine="567"/>
        <w:jc w:val="both"/>
      </w:pPr>
      <w:r>
        <w:rPr>
          <w:rFonts w:ascii="Arial" w:cs="Arial" w:eastAsia="Arial" w:hAnsi="Arial"/>
          <w:sz w:val="24"/>
          <w:szCs w:val="24"/>
        </w:rPr>
        <w:t xml:space="preserve">- пункт 30 изложить в следующей редакции:</w:t>
      </w:r>
    </w:p>
    <w:p>
      <w:pPr>
        <w:spacing w:after="60"/>
        <w:ind w:firstLine="567"/>
        <w:jc w:val="both"/>
      </w:pPr>
      <w:r>
        <w:rPr>
          <w:rFonts w:ascii="Arial" w:cs="Arial" w:eastAsia="Arial" w:hAnsi="Arial"/>
          <w:sz w:val="24"/>
          <w:szCs w:val="24"/>
        </w:rPr>
        <w:t xml:space="preserve">"30. При оказании банковских услуг банк должен обеспечить соблюдение прав клиентов/партнеров, включая следующие права:</w:t>
      </w:r>
    </w:p>
    <w:p>
      <w:pPr>
        <w:spacing w:after="60"/>
        <w:ind w:firstLine="567"/>
        <w:jc w:val="both"/>
      </w:pPr>
      <w:r>
        <w:rPr>
          <w:rFonts w:ascii="Arial" w:cs="Arial" w:eastAsia="Arial" w:hAnsi="Arial"/>
          <w:sz w:val="24"/>
          <w:szCs w:val="24"/>
        </w:rPr>
        <w:t xml:space="preserve">- право клиента по договорам мурабаха, истиснаа, иджара отказаться от получения актива, несущего в себе кредитный риск, с момента подписания договора до момента осуществления платежа по оплате за товар/имущество;</w:t>
      </w:r>
    </w:p>
    <w:p>
      <w:pPr>
        <w:spacing w:after="60"/>
        <w:ind w:firstLine="567"/>
        <w:jc w:val="both"/>
      </w:pPr>
      <w:r>
        <w:rPr>
          <w:rFonts w:ascii="Arial" w:cs="Arial" w:eastAsia="Arial" w:hAnsi="Arial"/>
          <w:sz w:val="24"/>
          <w:szCs w:val="24"/>
        </w:rPr>
        <w:t xml:space="preserve">- право партнера по договорам мудараба и мушарака отказаться от получения актива, несущего в себе кредитный риск, с момента подписания договора до момента получения денежных средств; </w:t>
      </w:r>
    </w:p>
    <w:p>
      <w:pPr>
        <w:spacing w:after="60"/>
        <w:ind w:firstLine="567"/>
        <w:jc w:val="both"/>
      </w:pPr>
      <w:r>
        <w:rPr>
          <w:rFonts w:ascii="Arial" w:cs="Arial" w:eastAsia="Arial" w:hAnsi="Arial"/>
          <w:sz w:val="24"/>
          <w:szCs w:val="24"/>
        </w:rPr>
        <w:t xml:space="preserve">- право клиента/партнера до момента подписания договора получить на руки проект договора со всеми прилагаемыми к нему документами и обратиться за юридической консультацией за пределами банка, при этом время, предоставляемое клиенту/партнеру на ознакомление с договором, должно быть не менее 1 (одного) дня, но не более 3 (трех) дней;</w:t>
      </w:r>
    </w:p>
    <w:p>
      <w:pPr>
        <w:spacing w:after="60"/>
        <w:ind w:firstLine="567"/>
        <w:jc w:val="both"/>
      </w:pPr>
      <w:r>
        <w:rPr>
          <w:rFonts w:ascii="Arial" w:cs="Arial" w:eastAsia="Arial" w:hAnsi="Arial"/>
          <w:sz w:val="24"/>
          <w:szCs w:val="24"/>
        </w:rPr>
        <w:t xml:space="preserve">- право клиента/партнера обратиться в банк с просьбой о пролонгации или реструктуризации актива, несущего в себе кредитный риск;</w:t>
      </w:r>
    </w:p>
    <w:p>
      <w:pPr>
        <w:spacing w:after="60"/>
        <w:ind w:firstLine="567"/>
        <w:jc w:val="both"/>
      </w:pPr>
      <w:r>
        <w:rPr>
          <w:rFonts w:ascii="Arial" w:cs="Arial" w:eastAsia="Arial" w:hAnsi="Arial"/>
          <w:sz w:val="24"/>
          <w:szCs w:val="24"/>
        </w:rPr>
        <w:t xml:space="preserve">- право клиента/партнера, в случае если более 50% от основной суммы актива, несущего в себе кредитный риск, погашено, предоставить взамен имеющегося залога другой залог, приемлемый для обеих сторон, стоимость которого покрывает оставшуюся сумму задолженности по активу, несущему в себе кредитный риск, в соответствии с внутренними документами банка, без уплаты комиссионных и иных платежей.</w:t>
      </w:r>
    </w:p>
    <w:p>
      <w:pPr>
        <w:spacing w:after="60"/>
        <w:ind w:firstLine="567"/>
        <w:jc w:val="both"/>
      </w:pPr>
      <w:r>
        <w:rPr>
          <w:rFonts w:ascii="Arial" w:cs="Arial" w:eastAsia="Arial" w:hAnsi="Arial"/>
          <w:sz w:val="24"/>
          <w:szCs w:val="24"/>
        </w:rPr>
        <w:t xml:space="preserve">При заключении договора финансирования с клиентом/партнером - физическим лицом, в том числе с индивидуальным предпринимателем, банк предоставляет указанным клиентам/партнерам право выбора следующих способов получения финансирования:</w:t>
      </w:r>
    </w:p>
    <w:p>
      <w:pPr>
        <w:spacing w:after="60"/>
        <w:ind w:firstLine="567"/>
        <w:jc w:val="both"/>
      </w:pPr>
      <w:r>
        <w:rPr>
          <w:rFonts w:ascii="Arial" w:cs="Arial" w:eastAsia="Arial" w:hAnsi="Arial"/>
          <w:sz w:val="24"/>
          <w:szCs w:val="24"/>
        </w:rPr>
        <w:t xml:space="preserve">- получение денежных средств в наличной форме без уплаты комиссионных и иных платежей за обналичивание;</w:t>
      </w:r>
    </w:p>
    <w:p>
      <w:pPr>
        <w:spacing w:after="60"/>
        <w:ind w:firstLine="567"/>
        <w:jc w:val="both"/>
      </w:pPr>
      <w:r>
        <w:rPr>
          <w:rFonts w:ascii="Arial" w:cs="Arial" w:eastAsia="Arial" w:hAnsi="Arial"/>
          <w:sz w:val="24"/>
          <w:szCs w:val="24"/>
        </w:rPr>
        <w:t xml:space="preserve">- получение денежных средств с расчетного (текущего) счета/счета по банковским вкладам (депозитам)/до востребования, условия обслуживания которого определяются в соответствующем договоре.</w:t>
      </w:r>
    </w:p>
    <w:p>
      <w:pPr>
        <w:spacing w:after="60"/>
        <w:ind w:firstLine="567"/>
        <w:jc w:val="both"/>
      </w:pPr>
      <w:r>
        <w:rPr>
          <w:rFonts w:ascii="Arial" w:cs="Arial" w:eastAsia="Arial" w:hAnsi="Arial"/>
          <w:sz w:val="24"/>
          <w:szCs w:val="24"/>
        </w:rPr>
        <w:t xml:space="preserve">При этом клиенты/партнеры - физические лица, в том числе индивидуальные предприниматели, вправе осуществлять погашение финансирования как в наличной, так и в безналичной формах.</w:t>
      </w:r>
    </w:p>
    <w:p>
      <w:pPr>
        <w:spacing w:after="60"/>
        <w:ind w:firstLine="567"/>
        <w:jc w:val="both"/>
      </w:pPr>
      <w:r>
        <w:rPr>
          <w:rFonts w:ascii="Arial" w:cs="Arial" w:eastAsia="Arial" w:hAnsi="Arial"/>
          <w:sz w:val="24"/>
          <w:szCs w:val="24"/>
        </w:rPr>
        <w:t xml:space="preserve">Право получения денежных средств без уплаты комиссионных и иных платежей за обналичивание денежных средств предоставляется банком при ипотечном финансировании, а также финансирования в рамках государственных/правительственных и социальных программ, направленных на развитие экономики клиентам/партнерам - физическим лицам, в том числе индивидуальным предпринимателям.";</w:t>
      </w:r>
    </w:p>
    <w:p>
      <w:pPr>
        <w:spacing w:after="60"/>
        <w:ind w:firstLine="567"/>
        <w:jc w:val="both"/>
      </w:pPr>
      <w:r>
        <w:rPr>
          <w:rFonts w:ascii="Arial" w:cs="Arial" w:eastAsia="Arial" w:hAnsi="Arial"/>
          <w:sz w:val="24"/>
          <w:szCs w:val="24"/>
        </w:rPr>
        <w:t xml:space="preserve">- пункт 33 изложить в следующей редакции:</w:t>
      </w:r>
    </w:p>
    <w:p>
      <w:pPr>
        <w:spacing w:after="60"/>
        <w:ind w:firstLine="567"/>
        <w:jc w:val="both"/>
      </w:pPr>
      <w:r>
        <w:rPr>
          <w:rFonts w:ascii="Arial" w:cs="Arial" w:eastAsia="Arial" w:hAnsi="Arial"/>
          <w:sz w:val="24"/>
          <w:szCs w:val="24"/>
        </w:rPr>
        <w:t xml:space="preserve">"33. Банк, принимая на себя риски, связанные с предоставлением актива, несущего в себе кредитный риск, должен проверять полноту и достоверность информации, представленной клиентом/партнером, в том числе по доходам клиентов/партнеров, которые имеют доходы, не подтвержденные документально, как до момента выдачи актива, несущего в себе кредитный риск, так и в последующем - до полного возврата средств банка, не реже чем один раз в год, с учетом требований, указанных в пункте 68-1 настоящего Положения.";</w:t>
      </w:r>
    </w:p>
    <w:p>
      <w:pPr>
        <w:spacing w:after="60"/>
        <w:ind w:firstLine="567"/>
        <w:jc w:val="both"/>
      </w:pPr>
      <w:r>
        <w:rPr>
          <w:rFonts w:ascii="Arial" w:cs="Arial" w:eastAsia="Arial" w:hAnsi="Arial"/>
          <w:sz w:val="24"/>
          <w:szCs w:val="24"/>
        </w:rPr>
        <w:t xml:space="preserve">- пункт 34 изложить в следующей редакции:</w:t>
      </w:r>
    </w:p>
    <w:p>
      <w:pPr>
        <w:spacing w:after="60"/>
        <w:ind w:firstLine="567"/>
        <w:jc w:val="both"/>
      </w:pPr>
      <w:r>
        <w:rPr>
          <w:rFonts w:ascii="Arial" w:cs="Arial" w:eastAsia="Arial" w:hAnsi="Arial"/>
          <w:sz w:val="24"/>
          <w:szCs w:val="24"/>
        </w:rPr>
        <w:t xml:space="preserve">"34. В целом анализ заявки на получение актива, несущего в себе кредитный риск, должен основываться на политике банка, одобренной советом директоров, и концентрироваться на следующих ключевых факторах:</w:t>
      </w:r>
    </w:p>
    <w:p>
      <w:pPr>
        <w:spacing w:after="60"/>
        <w:ind w:firstLine="567"/>
        <w:jc w:val="both"/>
      </w:pPr>
      <w:r>
        <w:rPr>
          <w:rFonts w:ascii="Arial" w:cs="Arial" w:eastAsia="Arial" w:hAnsi="Arial"/>
          <w:sz w:val="24"/>
          <w:szCs w:val="24"/>
        </w:rPr>
        <w:t xml:space="preserve">- праве получить финансирование. Банк должен убедиться в том, что клиент/партнер имеет право на получение актива, несущего в себе кредитный риск, и подписание договора;</w:t>
      </w:r>
    </w:p>
    <w:p>
      <w:pPr>
        <w:spacing w:after="60"/>
        <w:ind w:firstLine="567"/>
        <w:jc w:val="both"/>
      </w:pPr>
      <w:r>
        <w:rPr>
          <w:rFonts w:ascii="Arial" w:cs="Arial" w:eastAsia="Arial" w:hAnsi="Arial"/>
          <w:sz w:val="24"/>
          <w:szCs w:val="24"/>
        </w:rPr>
        <w:t xml:space="preserve">- характере клиента/партнера. Банк должен установить, что клиент/партнер ответственно относится к получению финансирования, дает полные ответы на вопросы банка и будет прилагать все усилия для выплаты задолженности. При анализе следует также учитывать, пользовался ли клиент/партнер кредитами (займами) или активами, несущими в себе кредитный риск, в этом банке или других финансово-кредитных организациях в прошлом, каким образом осуществлялся возврат, его дисциплинированность, готовность выполнять свои обязательства. Также следует принимать во внимание его репутацию как в профессиональном, так и в общечеловеческом плане, и рассматривать срок, опыт работы клиента/партнера в данной отрасли, его успехи и достижения. Имеет смысл запросить информацию о предоставленных ему активах, несущих в себе кредитный риск, в других кредитных организациях. Кроме того, необходимо запросить информацию (кредитный отчет) о связанных с клиентом/партнером лицах при наличии их согласия в соответствии с законодательством в одном или нескольких кредитных бюро.</w:t>
      </w:r>
    </w:p>
    <w:p>
      <w:pPr>
        <w:spacing w:after="60"/>
        <w:ind w:firstLine="567"/>
        <w:jc w:val="both"/>
      </w:pPr>
      <w:r>
        <w:rPr>
          <w:rFonts w:ascii="Arial" w:cs="Arial" w:eastAsia="Arial" w:hAnsi="Arial"/>
          <w:sz w:val="24"/>
          <w:szCs w:val="24"/>
        </w:rPr>
        <w:t xml:space="preserve">Банк должен соблюдать конфиденциальность и сохранность кредитного отчета, полученного от кредитного бюро, не разглашать содержащуюся в нем кредитную информацию третьим лицам и использовать кредитный отчет только для целей, установленных законодательством об обмене кредитной информацией.</w:t>
      </w:r>
    </w:p>
    <w:p>
      <w:pPr>
        <w:spacing w:after="60"/>
        <w:ind w:firstLine="567"/>
        <w:jc w:val="both"/>
      </w:pPr>
      <w:r>
        <w:rPr>
          <w:rFonts w:ascii="Arial" w:cs="Arial" w:eastAsia="Arial" w:hAnsi="Arial"/>
          <w:sz w:val="24"/>
          <w:szCs w:val="24"/>
        </w:rPr>
        <w:t xml:space="preserve">Банк несет ответственность за искажение сведений, содержащихся в кредитном отчете, полученном от кредитного бюро;</w:t>
      </w:r>
    </w:p>
    <w:p>
      <w:pPr>
        <w:spacing w:after="60"/>
        <w:ind w:firstLine="567"/>
        <w:jc w:val="both"/>
      </w:pPr>
      <w:r>
        <w:rPr>
          <w:rFonts w:ascii="Arial" w:cs="Arial" w:eastAsia="Arial" w:hAnsi="Arial"/>
          <w:sz w:val="24"/>
          <w:szCs w:val="24"/>
        </w:rPr>
        <w:t xml:space="preserve">- денежных средствах. Главный вопрос, на который должен ответить сотрудник банка, анализирующий заявку на получение актива, несущего в себе кредитный риск, это: сможет ли клиент/партнер получить достаточно денежных средств в форме дохода и потока наличности, в том числе в той валюте, в которой он намеревается получить финансирование для того, чтобы погасить актив, несущий в себе кредитный риск. При оценке банк должен выяснить, наблюдался ли в прошлом стабильный рост прибыли или объема продаж, есть ли вероятность, что подобный рост продолжится в течение срока действия договора.</w:t>
      </w:r>
    </w:p>
    <w:p>
      <w:pPr>
        <w:spacing w:after="60"/>
        <w:ind w:firstLine="567"/>
        <w:jc w:val="both"/>
      </w:pPr>
      <w:r>
        <w:rPr>
          <w:rFonts w:ascii="Arial" w:cs="Arial" w:eastAsia="Arial" w:hAnsi="Arial"/>
          <w:sz w:val="24"/>
          <w:szCs w:val="24"/>
        </w:rPr>
        <w:t xml:space="preserve">Кроме того, банк должен определить достаточность доходов (выручки) клиента/партнера (в том числе в иностранной валюте) с учетом роста обменных курсов для того, чтобы обеспечить своевременное погашение клиентом/партнером актива.</w:t>
      </w:r>
    </w:p>
    <w:p>
      <w:pPr>
        <w:spacing w:after="60"/>
        <w:ind w:firstLine="567"/>
        <w:jc w:val="both"/>
      </w:pPr>
      <w:r>
        <w:rPr>
          <w:rFonts w:ascii="Arial" w:cs="Arial" w:eastAsia="Arial" w:hAnsi="Arial"/>
          <w:sz w:val="24"/>
          <w:szCs w:val="24"/>
        </w:rPr>
        <w:t xml:space="preserve">В случае если у клиента/партнера в предстоящие 12 месяцев доходы (выручка) будут преимущественно в национальной валюте, банк должен оценить целесообразность выдачи финансирования в иностранной валюте такому клиенту/партнеру, учитывая кредитный риск, обусловленный валютным риском, в результате негативного изменения обменного курса для клиента/партнера с учетом требований нормативных правовых актов Национального банка, в том числе по РППУ;</w:t>
      </w:r>
    </w:p>
    <w:p>
      <w:pPr>
        <w:spacing w:after="60"/>
        <w:ind w:firstLine="567"/>
        <w:jc w:val="both"/>
      </w:pPr>
      <w:r>
        <w:rPr>
          <w:rFonts w:ascii="Arial" w:cs="Arial" w:eastAsia="Arial" w:hAnsi="Arial"/>
          <w:sz w:val="24"/>
          <w:szCs w:val="24"/>
        </w:rPr>
        <w:t xml:space="preserve">- обеспечении. При оценке обеспечения специалист по финансированию банка должен выяснить, располагает ли клиент/партнер достаточным качественным обеспечением, необходимым для уменьшения риска невозврата актива, несущего в себе кредитный риск.</w:t>
      </w:r>
    </w:p>
    <w:p>
      <w:pPr>
        <w:spacing w:after="60"/>
        <w:ind w:firstLine="567"/>
        <w:jc w:val="both"/>
      </w:pPr>
      <w:r>
        <w:rPr>
          <w:rFonts w:ascii="Arial" w:cs="Arial" w:eastAsia="Arial" w:hAnsi="Arial"/>
          <w:sz w:val="24"/>
          <w:szCs w:val="24"/>
        </w:rPr>
        <w:t xml:space="preserve">При выдаче активов, несущих в себе кредитный риск, могут использоваться различные формы, виды и способы обеспечения.</w:t>
      </w:r>
    </w:p>
    <w:p>
      <w:pPr>
        <w:spacing w:after="60"/>
        <w:ind w:firstLine="567"/>
        <w:jc w:val="both"/>
      </w:pPr>
      <w:r>
        <w:rPr>
          <w:rFonts w:ascii="Arial" w:cs="Arial" w:eastAsia="Arial" w:hAnsi="Arial"/>
          <w:sz w:val="24"/>
          <w:szCs w:val="24"/>
        </w:rPr>
        <w:t xml:space="preserve">Обеспечение обязательств клиентов/партнеров классифицируется по различным признакам:</w:t>
      </w:r>
    </w:p>
    <w:p>
      <w:pPr>
        <w:spacing w:after="60"/>
        <w:ind w:firstLine="567"/>
        <w:jc w:val="both"/>
      </w:pPr>
      <w:r>
        <w:rPr>
          <w:rFonts w:ascii="Arial" w:cs="Arial" w:eastAsia="Arial" w:hAnsi="Arial"/>
          <w:sz w:val="24"/>
          <w:szCs w:val="24"/>
        </w:rPr>
        <w:t xml:space="preserve">- имущественная форма обеспечения активов, несущих в себе кредитный риск, под которой понимается вторичный источник погашения актива за счет получения денежных средств от реализации имущества, предоставленного клиентом/партнером при получении актива, несущего в себе кредитный риск.</w:t>
      </w:r>
    </w:p>
    <w:p>
      <w:pPr>
        <w:spacing w:after="60"/>
        <w:ind w:firstLine="567"/>
        <w:jc w:val="both"/>
      </w:pPr>
      <w:r>
        <w:rPr>
          <w:rFonts w:ascii="Arial" w:cs="Arial" w:eastAsia="Arial" w:hAnsi="Arial"/>
          <w:sz w:val="24"/>
          <w:szCs w:val="24"/>
        </w:rPr>
        <w:t xml:space="preserve">К имущественной форме могут относиться следующие виды обеспечения активов, несущих в себе кредитный риск:</w:t>
      </w:r>
    </w:p>
    <w:p>
      <w:pPr>
        <w:spacing w:after="60"/>
        <w:ind w:firstLine="567"/>
        <w:jc w:val="both"/>
      </w:pPr>
      <w:r>
        <w:rPr>
          <w:rFonts w:ascii="Arial" w:cs="Arial" w:eastAsia="Arial" w:hAnsi="Arial"/>
          <w:sz w:val="24"/>
          <w:szCs w:val="24"/>
        </w:rPr>
        <w:t xml:space="preserve">- залог недвижимого имущества;</w:t>
      </w:r>
    </w:p>
    <w:p>
      <w:pPr>
        <w:spacing w:after="60"/>
        <w:ind w:firstLine="567"/>
        <w:jc w:val="both"/>
      </w:pPr>
      <w:r>
        <w:rPr>
          <w:rFonts w:ascii="Arial" w:cs="Arial" w:eastAsia="Arial" w:hAnsi="Arial"/>
          <w:sz w:val="24"/>
          <w:szCs w:val="24"/>
        </w:rPr>
        <w:t xml:space="preserve">- залог движимого имущества (это имущество, как правило, остается в пользовании клиента/партнера - автотранспорт, товары в обороте, бытовая техника и т.п.);</w:t>
      </w:r>
    </w:p>
    <w:p>
      <w:pPr>
        <w:spacing w:after="60"/>
        <w:ind w:firstLine="567"/>
        <w:jc w:val="both"/>
      </w:pPr>
      <w:r>
        <w:rPr>
          <w:rFonts w:ascii="Arial" w:cs="Arial" w:eastAsia="Arial" w:hAnsi="Arial"/>
          <w:sz w:val="24"/>
          <w:szCs w:val="24"/>
        </w:rPr>
        <w:t xml:space="preserve">- заклад (имущество, которое передается на хранение в банк - драгоценные металлы, ценные бумаги, залог депозита и т.д.);</w:t>
      </w:r>
    </w:p>
    <w:p>
      <w:pPr>
        <w:spacing w:after="60"/>
        <w:ind w:firstLine="567"/>
        <w:jc w:val="both"/>
      </w:pPr>
      <w:r>
        <w:rPr>
          <w:rFonts w:ascii="Arial" w:cs="Arial" w:eastAsia="Arial" w:hAnsi="Arial"/>
          <w:sz w:val="24"/>
          <w:szCs w:val="24"/>
        </w:rPr>
        <w:t xml:space="preserve">- неимущественная форма обеспечения активов, несущих в себе кредитный риск. Неимущественная форма обеспечения активов - это источник погашения актива за счет юридического оформления гарантии возврата средств.</w:t>
      </w:r>
    </w:p>
    <w:p>
      <w:pPr>
        <w:spacing w:after="60"/>
        <w:ind w:firstLine="567"/>
        <w:jc w:val="both"/>
      </w:pPr>
      <w:r>
        <w:rPr>
          <w:rFonts w:ascii="Arial" w:cs="Arial" w:eastAsia="Arial" w:hAnsi="Arial"/>
          <w:sz w:val="24"/>
          <w:szCs w:val="24"/>
        </w:rPr>
        <w:t xml:space="preserve">К неимущественной форме обеспечения по активам, несущим в себе кредитный риск, могут быть отнесены такие виды обеспечения активов, как:</w:t>
      </w:r>
    </w:p>
    <w:p>
      <w:pPr>
        <w:spacing w:after="60"/>
        <w:ind w:firstLine="567"/>
        <w:jc w:val="both"/>
      </w:pPr>
      <w:r>
        <w:rPr>
          <w:rFonts w:ascii="Arial" w:cs="Arial" w:eastAsia="Arial" w:hAnsi="Arial"/>
          <w:sz w:val="24"/>
          <w:szCs w:val="24"/>
        </w:rPr>
        <w:t xml:space="preserve">- гарантия;</w:t>
      </w:r>
    </w:p>
    <w:p>
      <w:pPr>
        <w:spacing w:after="60"/>
        <w:ind w:firstLine="567"/>
        <w:jc w:val="both"/>
      </w:pPr>
      <w:r>
        <w:rPr>
          <w:rFonts w:ascii="Arial" w:cs="Arial" w:eastAsia="Arial" w:hAnsi="Arial"/>
          <w:sz w:val="24"/>
          <w:szCs w:val="24"/>
        </w:rPr>
        <w:t xml:space="preserve">- поручительство.</w:t>
      </w:r>
    </w:p>
    <w:p>
      <w:pPr>
        <w:spacing w:after="60"/>
        <w:ind w:firstLine="567"/>
        <w:jc w:val="both"/>
      </w:pPr>
      <w:r>
        <w:rPr>
          <w:rFonts w:ascii="Arial" w:cs="Arial" w:eastAsia="Arial" w:hAnsi="Arial"/>
          <w:sz w:val="24"/>
          <w:szCs w:val="24"/>
        </w:rPr>
        <w:t xml:space="preserve">По степени покрытия обязательства, обеспечения по активу, несущему в себе кредитный риск, делятся на:</w:t>
      </w:r>
    </w:p>
    <w:p>
      <w:pPr>
        <w:spacing w:after="60"/>
        <w:ind w:firstLine="567"/>
        <w:jc w:val="both"/>
      </w:pPr>
      <w:r>
        <w:rPr>
          <w:rFonts w:ascii="Arial" w:cs="Arial" w:eastAsia="Arial" w:hAnsi="Arial"/>
          <w:sz w:val="24"/>
          <w:szCs w:val="24"/>
        </w:rPr>
        <w:t xml:space="preserve">- основное обеспечение;</w:t>
      </w:r>
    </w:p>
    <w:p>
      <w:pPr>
        <w:spacing w:after="60"/>
        <w:ind w:firstLine="567"/>
        <w:jc w:val="both"/>
      </w:pPr>
      <w:r>
        <w:rPr>
          <w:rFonts w:ascii="Arial" w:cs="Arial" w:eastAsia="Arial" w:hAnsi="Arial"/>
          <w:sz w:val="24"/>
          <w:szCs w:val="24"/>
        </w:rPr>
        <w:t xml:space="preserve">- дополнительное обеспечение.</w:t>
      </w:r>
    </w:p>
    <w:p>
      <w:pPr>
        <w:spacing w:after="60"/>
        <w:ind w:firstLine="567"/>
        <w:jc w:val="both"/>
      </w:pPr>
      <w:r>
        <w:rPr>
          <w:rFonts w:ascii="Arial" w:cs="Arial" w:eastAsia="Arial" w:hAnsi="Arial"/>
          <w:sz w:val="24"/>
          <w:szCs w:val="24"/>
        </w:rPr>
        <w:t xml:space="preserve">В зависимости от полноты покрываемого обязательства обеспечение по активу, несущему в себе кредитный риск, делится на:</w:t>
      </w:r>
    </w:p>
    <w:p>
      <w:pPr>
        <w:spacing w:after="60"/>
        <w:ind w:firstLine="567"/>
        <w:jc w:val="both"/>
      </w:pPr>
      <w:r>
        <w:rPr>
          <w:rFonts w:ascii="Arial" w:cs="Arial" w:eastAsia="Arial" w:hAnsi="Arial"/>
          <w:sz w:val="24"/>
          <w:szCs w:val="24"/>
        </w:rPr>
        <w:t xml:space="preserve">- полностью покрывающее обязательство по активу, несущему в себе кредитный риск;</w:t>
      </w:r>
    </w:p>
    <w:p>
      <w:pPr>
        <w:spacing w:after="60"/>
        <w:ind w:firstLine="567"/>
        <w:jc w:val="both"/>
      </w:pPr>
      <w:r>
        <w:rPr>
          <w:rFonts w:ascii="Arial" w:cs="Arial" w:eastAsia="Arial" w:hAnsi="Arial"/>
          <w:sz w:val="24"/>
          <w:szCs w:val="24"/>
        </w:rPr>
        <w:t xml:space="preserve">- частично покрывающее обязательство по активу, несущему в себе кредитный риск.</w:t>
      </w:r>
    </w:p>
    <w:p>
      <w:pPr>
        <w:spacing w:after="60"/>
        <w:ind w:firstLine="567"/>
        <w:jc w:val="both"/>
      </w:pPr>
      <w:r>
        <w:rPr>
          <w:rFonts w:ascii="Arial" w:cs="Arial" w:eastAsia="Arial" w:hAnsi="Arial"/>
          <w:sz w:val="24"/>
          <w:szCs w:val="24"/>
        </w:rPr>
        <w:t xml:space="preserve">Отдельной формой минимизации кредитных рисков банка может быть страхование кредитного риска.</w:t>
      </w:r>
    </w:p>
    <w:p>
      <w:pPr>
        <w:spacing w:after="60"/>
        <w:ind w:firstLine="567"/>
        <w:jc w:val="both"/>
      </w:pPr>
      <w:r>
        <w:rPr>
          <w:rFonts w:ascii="Arial" w:cs="Arial" w:eastAsia="Arial" w:hAnsi="Arial"/>
          <w:sz w:val="24"/>
          <w:szCs w:val="24"/>
        </w:rPr>
        <w:t xml:space="preserve">Основные мероприятия банка для принятия имущественного обеспечения по активу, несущему в себе кредитный риск:</w:t>
      </w:r>
    </w:p>
    <w:p>
      <w:pPr>
        <w:spacing w:after="60"/>
        <w:ind w:firstLine="567"/>
        <w:jc w:val="both"/>
      </w:pPr>
      <w:r>
        <w:rPr>
          <w:rFonts w:ascii="Arial" w:cs="Arial" w:eastAsia="Arial" w:hAnsi="Arial"/>
          <w:sz w:val="24"/>
          <w:szCs w:val="24"/>
        </w:rPr>
        <w:t xml:space="preserve">- банк должен убедиться в наличии обеспечения, предоставляемого клиентом/партнером. Следует проверить документы о праве собственности на имущество, а также о его наличии в натуре. Предложенное в качестве обеспечения имущество (право) должно быть реальным. При этом допускается последующий залог обеспечения при соблюдении требований законодательства Кыргызской Республики.</w:t>
      </w:r>
    </w:p>
    <w:p>
      <w:pPr>
        <w:spacing w:after="60"/>
        <w:ind w:firstLine="567"/>
        <w:jc w:val="both"/>
      </w:pPr>
      <w:r>
        <w:rPr>
          <w:rFonts w:ascii="Arial" w:cs="Arial" w:eastAsia="Arial" w:hAnsi="Arial"/>
          <w:sz w:val="24"/>
          <w:szCs w:val="24"/>
        </w:rPr>
        <w:t xml:space="preserve">Примечание: Исключением из данного подпункта являются случаи, когда невозможен визуальный осмотр и оценка обеспечения в виде крупного и мелкого рогатого скота в связи с их сезонным выпасом в отдаленных и труднодоступных местностях. В таких случаях банк удостоверяется о наличии у клиента/партнера скота путем проверки площади хлева, кошары, наличия запасов корма, договоров аренды пастбища и т.п. Дополнительно клиенту необходимо предоставить справку из айыл окмоту о наличии скота, а также другие документы, свидетельствующие о наличии скота, если имеются;</w:t>
      </w:r>
    </w:p>
    <w:p>
      <w:pPr>
        <w:spacing w:after="60"/>
        <w:ind w:firstLine="567"/>
        <w:jc w:val="both"/>
      </w:pPr>
      <w:r>
        <w:rPr>
          <w:rFonts w:ascii="Arial" w:cs="Arial" w:eastAsia="Arial" w:hAnsi="Arial"/>
          <w:sz w:val="24"/>
          <w:szCs w:val="24"/>
        </w:rPr>
        <w:t xml:space="preserve">- банк должен определить уровень ликвидности обеспечения, т.е. возможность быстрой продажи (реализации);</w:t>
      </w:r>
    </w:p>
    <w:p>
      <w:pPr>
        <w:spacing w:after="60"/>
        <w:ind w:firstLine="567"/>
        <w:jc w:val="both"/>
      </w:pPr>
      <w:r>
        <w:rPr>
          <w:rFonts w:ascii="Arial" w:cs="Arial" w:eastAsia="Arial" w:hAnsi="Arial"/>
          <w:sz w:val="24"/>
          <w:szCs w:val="24"/>
        </w:rPr>
        <w:t xml:space="preserve">- банк может самостоятельно или с привлечением независимых специалистов-оценщиков, имеющих соответствующий сертификат, согласно требованиям законодательства, провести оценку стоимости обеспечения. Превышение рыночной стоимости обеспечения по активу, несущему в себе кредитный риск, над суммой финансирования и причитающихся выплат по нему с учетом размера возможных затрат на реализацию предмета обеспечения является инструментом по управлению риском невозврата активов, несущих в себе кредитный риск;</w:t>
      </w:r>
    </w:p>
    <w:p>
      <w:pPr>
        <w:spacing w:after="60"/>
        <w:ind w:firstLine="567"/>
        <w:jc w:val="both"/>
      </w:pPr>
      <w:r>
        <w:rPr>
          <w:rFonts w:ascii="Arial" w:cs="Arial" w:eastAsia="Arial" w:hAnsi="Arial"/>
          <w:sz w:val="24"/>
          <w:szCs w:val="24"/>
        </w:rPr>
        <w:t xml:space="preserve">- банку следует осуществлять анализ рынка с целью определения стабильности цен на предложенное клиентом/партнером имущество, при этом банку следует учесть риски снижения стоимости этого обеспечения;</w:t>
      </w:r>
    </w:p>
    <w:p>
      <w:pPr>
        <w:spacing w:after="60"/>
        <w:ind w:firstLine="567"/>
        <w:jc w:val="both"/>
      </w:pPr>
      <w:r>
        <w:rPr>
          <w:rFonts w:ascii="Arial" w:cs="Arial" w:eastAsia="Arial" w:hAnsi="Arial"/>
          <w:sz w:val="24"/>
          <w:szCs w:val="24"/>
        </w:rPr>
        <w:t xml:space="preserve">- банк должен принимать в обеспечение имущество со сроком использования/службы как минимум на срок пользования клиентом/партнером финансирования, при этом следует учитывать возможность возникновения потребности в хранении обеспечения, что может вызвать дополнительные расходы. В случае если обеспечением по контрактному финансированию в размере свыше 100000 сомов является гарантия и/или право требования по контракту, банк должен проанализировать платежеспособность гаранта/контрагента клиента/партнера как минимум за последний год, оценить риски, связанные с выполнением сторонами обязательств по данному финансированию и реализацией вторичного источника погашения, в случае невозврата финансирования;</w:t>
      </w:r>
    </w:p>
    <w:p>
      <w:pPr>
        <w:spacing w:after="60"/>
        <w:ind w:firstLine="567"/>
        <w:jc w:val="both"/>
      </w:pPr>
      <w:r>
        <w:rPr>
          <w:rFonts w:ascii="Arial" w:cs="Arial" w:eastAsia="Arial" w:hAnsi="Arial"/>
          <w:sz w:val="24"/>
          <w:szCs w:val="24"/>
        </w:rPr>
        <w:t xml:space="preserve">- гарантия/поручительство. При обеспечении актива, несущего в себе кредитный риск, гарантией/поручительством для определения целесообразности предоставления финансирования банк проводит анализ платежеспособности гаранта/поручителя в таком же объеме, как и самого клиента/партнера. Банк должен потребовать от гаранта/поручителя документы, запрашиваемые для анализа платежеспособности самого клиента/партнера, в соответствии с требованиями настоящего Положения, изучить его профессиональную репутацию, ответственность и готовность выполнять свои обязательства. При этом несоблюдение данного условия влечет признание таких активов, несущих в себе кредитный риск, в части обеспеченных гарантией/поручительством в качестве бланковых;</w:t>
      </w:r>
    </w:p>
    <w:p>
      <w:pPr>
        <w:spacing w:after="60"/>
        <w:ind w:firstLine="567"/>
        <w:jc w:val="both"/>
      </w:pPr>
      <w:r>
        <w:rPr>
          <w:rFonts w:ascii="Arial" w:cs="Arial" w:eastAsia="Arial" w:hAnsi="Arial"/>
          <w:sz w:val="24"/>
          <w:szCs w:val="24"/>
        </w:rPr>
        <w:t xml:space="preserve">- поручительство членов группы солидарной ответственности. При этом под группой солидарной ответственности (далее - ГСО) понимается добровольное объединение участников - физических лиц (минимум 3 человека), занимающихся предпринимательской деятельностью, направленной на получение прибыли, при этом члены ГСО совместно поручаются за выполнение обязательств каждого члена группы и несут ответственность за полный возврат полученных средств солидарно, при любых обстоятельствах,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При рассмотрении заявки на получение актива, несущего в себе кредитный риск, участников ГСО банк должен обращать внимание на то, чтобы члены одной семьи, совместно проживающие и/или ведущие совместный бизнес, не были участниками одного ГСО.</w:t>
      </w:r>
    </w:p>
    <w:p>
      <w:pPr>
        <w:spacing w:after="60"/>
        <w:ind w:firstLine="567"/>
        <w:jc w:val="both"/>
      </w:pPr>
      <w:r>
        <w:rPr>
          <w:rFonts w:ascii="Arial" w:cs="Arial" w:eastAsia="Arial" w:hAnsi="Arial"/>
          <w:sz w:val="24"/>
          <w:szCs w:val="24"/>
        </w:rPr>
        <w:t xml:space="preserve">Необходимо учитывать, чтобы количество участников ГСО, не являющихся членами одной семьи, но имеющих совместный бизнес, не превышало 20 процентов от общего количества участников данного ГСО, и доля участников ГСО, не являющихся членами одной семьи, но имеющих совместный бизнес, не превышала 20 процентов от общей суммы выданного ГСО актива, несущего в себе кредитный риск.</w:t>
      </w:r>
    </w:p>
    <w:p>
      <w:pPr>
        <w:spacing w:after="60"/>
        <w:ind w:firstLine="567"/>
        <w:jc w:val="both"/>
      </w:pPr>
      <w:r>
        <w:rPr>
          <w:rFonts w:ascii="Arial" w:cs="Arial" w:eastAsia="Arial" w:hAnsi="Arial"/>
          <w:sz w:val="24"/>
          <w:szCs w:val="24"/>
        </w:rPr>
        <w:t xml:space="preserve">В целях настоящего Положения под совместным бизнесом понимается экономическая деятельность, в которой задействованы несколько предпринимателей (партнеры, совладельцы и т.д.). При этом их деятельность направлена на получение прибыли от совместного производства и/или продажи товаров, оказания услуг, в которой для этой цели используется имущество, нематериальные активы, труд данных предпринимателей. Участники совместного бизнеса делят между собой пропорционально прибыль от ведения бизнеса и несут риск потери всего или части имущества.";</w:t>
      </w:r>
    </w:p>
    <w:p>
      <w:pPr>
        <w:spacing w:after="60"/>
        <w:ind w:firstLine="567"/>
        <w:jc w:val="both"/>
      </w:pPr>
      <w:r>
        <w:rPr>
          <w:rFonts w:ascii="Arial" w:cs="Arial" w:eastAsia="Arial" w:hAnsi="Arial"/>
          <w:sz w:val="24"/>
          <w:szCs w:val="24"/>
        </w:rPr>
        <w:t xml:space="preserve">- пункт 36 дополнить абзацем третьим следующего содержания:</w:t>
      </w:r>
    </w:p>
    <w:p>
      <w:pPr>
        <w:spacing w:after="60"/>
        <w:ind w:firstLine="567"/>
        <w:jc w:val="both"/>
      </w:pPr>
      <w:r>
        <w:rPr>
          <w:rFonts w:ascii="Arial" w:cs="Arial" w:eastAsia="Arial" w:hAnsi="Arial"/>
          <w:sz w:val="24"/>
          <w:szCs w:val="24"/>
        </w:rPr>
        <w:t xml:space="preserve">"Результат, выданный внутренним рейтингом рисков банка, содержащий значение рейтинга о целесообразности/нецелесообразности предоставления клиенту/партнеру финансирования, может рассматриваться как заключение по финансированию.";</w:t>
      </w:r>
    </w:p>
    <w:p>
      <w:pPr>
        <w:spacing w:after="60"/>
        <w:ind w:firstLine="567"/>
        <w:jc w:val="both"/>
      </w:pPr>
      <w:r>
        <w:rPr>
          <w:rFonts w:ascii="Arial" w:cs="Arial" w:eastAsia="Arial" w:hAnsi="Arial"/>
          <w:sz w:val="24"/>
          <w:szCs w:val="24"/>
        </w:rPr>
        <w:t xml:space="preserve">- в пункте 43 предложение второе изложить в следующей редакции:</w:t>
      </w:r>
    </w:p>
    <w:p>
      <w:pPr>
        <w:spacing w:after="60"/>
        <w:ind w:firstLine="567"/>
        <w:jc w:val="both"/>
      </w:pPr>
      <w:r>
        <w:rPr>
          <w:rFonts w:ascii="Arial" w:cs="Arial" w:eastAsia="Arial" w:hAnsi="Arial"/>
          <w:sz w:val="24"/>
          <w:szCs w:val="24"/>
        </w:rPr>
        <w:t xml:space="preserve">"При этом банк не вправе в одностороннем порядке менять первоначальные условия договора, если это ухудшает права и/или увеличивает обязанности клиента/партнера.";</w:t>
      </w:r>
    </w:p>
    <w:p>
      <w:pPr>
        <w:spacing w:after="60"/>
        <w:ind w:firstLine="567"/>
        <w:jc w:val="both"/>
      </w:pPr>
      <w:r>
        <w:rPr>
          <w:rFonts w:ascii="Arial" w:cs="Arial" w:eastAsia="Arial" w:hAnsi="Arial"/>
          <w:sz w:val="24"/>
          <w:szCs w:val="24"/>
        </w:rPr>
        <w:t xml:space="preserve">- абзац восьмой пункта 44 изложить в следующей редакции:</w:t>
      </w:r>
    </w:p>
    <w:p>
      <w:pPr>
        <w:spacing w:after="60"/>
        <w:ind w:firstLine="567"/>
        <w:jc w:val="both"/>
      </w:pPr>
      <w:r>
        <w:rPr>
          <w:rFonts w:ascii="Arial" w:cs="Arial" w:eastAsia="Arial" w:hAnsi="Arial"/>
          <w:sz w:val="24"/>
          <w:szCs w:val="24"/>
        </w:rPr>
        <w:t xml:space="preserve">"- право клиента на досрочное погашение актива полностью или по частям в любое время без взимания штрафных санкций (комиссий и иной платы) при условии предварительного письменного уведомления об этом банка за 30 (тридцать) дней. При этом указанное условие устанавливает срок, по истечении которого (после направления уведомления) клиент может произвести досрочное погашение актива. В уведомлении может быть указан иной срок досрочного погашения при условии направления уведомления в банк не менее чем за 30 (тридцать) календарных дней до дня досрочного погашения. Досрочное погашение одного участника ГСО возможно при наличии письменного согласия участников ГСО;";</w:t>
      </w:r>
    </w:p>
    <w:p>
      <w:pPr>
        <w:spacing w:after="60"/>
        <w:ind w:firstLine="567"/>
        <w:jc w:val="both"/>
      </w:pPr>
      <w:r>
        <w:rPr>
          <w:rFonts w:ascii="Arial" w:cs="Arial" w:eastAsia="Arial" w:hAnsi="Arial"/>
          <w:sz w:val="24"/>
          <w:szCs w:val="24"/>
        </w:rPr>
        <w:t xml:space="preserve">- пункт 45 изложить в следующей редакции:</w:t>
      </w:r>
    </w:p>
    <w:p>
      <w:pPr>
        <w:spacing w:after="60"/>
        <w:ind w:firstLine="567"/>
        <w:jc w:val="both"/>
      </w:pPr>
      <w:r>
        <w:rPr>
          <w:rFonts w:ascii="Arial" w:cs="Arial" w:eastAsia="Arial" w:hAnsi="Arial"/>
          <w:sz w:val="24"/>
          <w:szCs w:val="24"/>
        </w:rPr>
        <w:t xml:space="preserve">"45. Услуга, за которую банк взимает комиссионные и иные платежи, должна соответствовать следующим требованиям:</w:t>
      </w:r>
    </w:p>
    <w:p>
      <w:pPr>
        <w:spacing w:after="60"/>
        <w:ind w:firstLine="567"/>
        <w:jc w:val="both"/>
      </w:pPr>
      <w:r>
        <w:rPr>
          <w:rFonts w:ascii="Arial" w:cs="Arial" w:eastAsia="Arial" w:hAnsi="Arial"/>
          <w:sz w:val="24"/>
          <w:szCs w:val="24"/>
        </w:rPr>
        <w:t xml:space="preserve">- иметь для клиента/партнера отдельную выгоду или потребительскую ценность;</w:t>
      </w:r>
    </w:p>
    <w:p>
      <w:pPr>
        <w:spacing w:after="60"/>
        <w:ind w:firstLine="567"/>
        <w:jc w:val="both"/>
      </w:pPr>
      <w:r>
        <w:rPr>
          <w:rFonts w:ascii="Arial" w:cs="Arial" w:eastAsia="Arial" w:hAnsi="Arial"/>
          <w:sz w:val="24"/>
          <w:szCs w:val="24"/>
        </w:rPr>
        <w:t xml:space="preserve">- быть самостоятельной и независимой от основной услуги по предоставлению финансирования;</w:t>
      </w:r>
    </w:p>
    <w:p>
      <w:pPr>
        <w:spacing w:after="60"/>
        <w:ind w:firstLine="567"/>
        <w:jc w:val="both"/>
      </w:pPr>
      <w:r>
        <w:rPr>
          <w:rFonts w:ascii="Arial" w:cs="Arial" w:eastAsia="Arial" w:hAnsi="Arial"/>
          <w:sz w:val="24"/>
          <w:szCs w:val="24"/>
        </w:rPr>
        <w:t xml:space="preserve">- не относиться к услугам, которые предоставляются безвозмездно в соответствии с требованиями законодательства.</w:t>
      </w:r>
    </w:p>
    <w:p>
      <w:pPr>
        <w:spacing w:after="60"/>
        <w:ind w:firstLine="567"/>
        <w:jc w:val="both"/>
      </w:pPr>
      <w:r>
        <w:rPr>
          <w:rFonts w:ascii="Arial" w:cs="Arial" w:eastAsia="Arial" w:hAnsi="Arial"/>
          <w:sz w:val="24"/>
          <w:szCs w:val="24"/>
        </w:rPr>
        <w:t xml:space="preserve">Не допускается взимание банком денежных средств и комиссий за одну и ту же операцию.</w:t>
      </w:r>
    </w:p>
    <w:p>
      <w:pPr>
        <w:spacing w:after="60"/>
        <w:ind w:firstLine="567"/>
        <w:jc w:val="both"/>
      </w:pPr>
      <w:r>
        <w:rPr>
          <w:rFonts w:ascii="Arial" w:cs="Arial" w:eastAsia="Arial" w:hAnsi="Arial"/>
          <w:sz w:val="24"/>
          <w:szCs w:val="24"/>
        </w:rPr>
        <w:t xml:space="preserve">Неустойка (штраф/пеня) и другие штрафные санкции взимаются банком с клиента только за неисполнение/ненадлежащее исполнение клиентом своих обязательств по договору и/или иных соглашений.</w:t>
      </w:r>
    </w:p>
    <w:p>
      <w:pPr>
        <w:spacing w:after="60"/>
        <w:ind w:firstLine="567"/>
        <w:jc w:val="both"/>
      </w:pPr>
      <w:r>
        <w:rPr>
          <w:rFonts w:ascii="Arial" w:cs="Arial" w:eastAsia="Arial" w:hAnsi="Arial"/>
          <w:sz w:val="24"/>
          <w:szCs w:val="24"/>
        </w:rPr>
        <w:t xml:space="preserve">Неотъемлемой частью договора между банком и клиентом/партнером является перечень расходов (платежей) клиентов/партнеров банка и штрафных санкций, который составляется в табличной форме в соответствии с Приложением 6 к настоящему Положению.</w:t>
      </w:r>
    </w:p>
    <w:p>
      <w:pPr>
        <w:spacing w:after="60"/>
        <w:ind w:firstLine="567"/>
        <w:jc w:val="both"/>
      </w:pPr>
      <w:r>
        <w:rPr>
          <w:rFonts w:ascii="Arial" w:cs="Arial" w:eastAsia="Arial" w:hAnsi="Arial"/>
          <w:sz w:val="24"/>
          <w:szCs w:val="24"/>
        </w:rPr>
        <w:t xml:space="preserve">В договоре финансирования запрещается включение дополнительных сборов, комиссионных и других платежей, помимо публикуемых или установленных банком, согласно Приложению 6 к настоящему Положению, а также иных сопутствующих услуг на платной основе, вне зависимости от договоренности с клиентом/партнером.</w:t>
      </w:r>
    </w:p>
    <w:p>
      <w:pPr>
        <w:spacing w:after="60"/>
        <w:ind w:firstLine="567"/>
        <w:jc w:val="both"/>
      </w:pPr>
      <w:r>
        <w:rPr>
          <w:rFonts w:ascii="Arial" w:cs="Arial" w:eastAsia="Arial" w:hAnsi="Arial"/>
          <w:sz w:val="24"/>
          <w:szCs w:val="24"/>
        </w:rPr>
        <w:t xml:space="preserve">Банк должен предоставить и ознакомить клиента с указанным перечнем и при необходимости предоставить клиенту/партнеру разъяснения по порядку расчетов актива, несущего в себе кредитный риск, пени, штрафа, порядку получения/погашения актива, в том числе с использованием банковских платежных карт, и о возможных рисках, неплатежеспособности в условиях роста обменного курса иностранной валюты, если актив получен в иностранной валюте, а ожидаемый доход (или его часть) - в национальной валюте, и др., а также получить согласие клиента/партнера, свидетельством которого будет являться его подпись.</w:t>
      </w:r>
    </w:p>
    <w:p>
      <w:pPr>
        <w:spacing w:after="60"/>
        <w:ind w:firstLine="567"/>
        <w:jc w:val="both"/>
      </w:pPr>
      <w:r>
        <w:rPr>
          <w:rFonts w:ascii="Arial" w:cs="Arial" w:eastAsia="Arial" w:hAnsi="Arial"/>
          <w:sz w:val="24"/>
          <w:szCs w:val="24"/>
        </w:rPr>
        <w:t xml:space="preserve">При просрочке по выплате наценки по основной сумме финансирования и/или просрочке по выплате основной суммы финансирования начисление неустойки (штрафа, пени) должно производиться на сумму просроченной задолженности и за фактический срок просроченной задолженности.</w:t>
      </w:r>
    </w:p>
    <w:p>
      <w:pPr>
        <w:spacing w:after="60"/>
        <w:ind w:firstLine="567"/>
        <w:jc w:val="both"/>
      </w:pPr>
      <w:r>
        <w:rPr>
          <w:rFonts w:ascii="Arial" w:cs="Arial" w:eastAsia="Arial" w:hAnsi="Arial"/>
          <w:sz w:val="24"/>
          <w:szCs w:val="24"/>
        </w:rPr>
        <w:t xml:space="preserve">Банк должен указать все расходы клиента/партнера банка, связанные с предоставлением, использованием и возвратом актива, несущего в себе кредитный риск, согласно договору и внутренним процедурам банка. Стоимость расходов по услугам третьих лиц (плата за услуги страхования, нотариуса и др.) для осведомленности клиента/партнера банк указывает по действующим тарифам третьих лиц на дату заключения договора с указанием того, что данные расходы могут измениться в будущем.</w:t>
      </w:r>
    </w:p>
    <w:p>
      <w:pPr>
        <w:spacing w:after="60"/>
        <w:ind w:firstLine="567"/>
        <w:jc w:val="both"/>
      </w:pPr>
      <w:r>
        <w:rPr>
          <w:rFonts w:ascii="Arial" w:cs="Arial" w:eastAsia="Arial" w:hAnsi="Arial"/>
          <w:sz w:val="24"/>
          <w:szCs w:val="24"/>
        </w:rPr>
        <w:t xml:space="preserve">Кроме того, договор должен содержать:</w:t>
      </w:r>
    </w:p>
    <w:p>
      <w:pPr>
        <w:spacing w:after="60"/>
        <w:ind w:firstLine="567"/>
        <w:jc w:val="both"/>
      </w:pPr>
      <w:r>
        <w:rPr>
          <w:rFonts w:ascii="Arial" w:cs="Arial" w:eastAsia="Arial" w:hAnsi="Arial"/>
          <w:sz w:val="24"/>
          <w:szCs w:val="24"/>
        </w:rPr>
        <w:t xml:space="preserve">- обязанность банков предоставлять в течение 3 (трех) рабочих дней по запросу клиента/партнера информацию о получении им актива, несущего в себе кредитный риск, и о соблюдении условий договора клиентом/партнером по данному активу, несущему в себе кредитный риск, для ее предоставления в другую финансово-кредитную организацию, а также предоставлять четкую и точную информацию о счете клиента/партнера (выписки со счета, чека, состояние баланса, подтверждение платежа по финансированию и другую необходимую информацию);</w:t>
      </w:r>
    </w:p>
    <w:p>
      <w:pPr>
        <w:spacing w:after="60"/>
        <w:ind w:firstLine="567"/>
        <w:jc w:val="both"/>
      </w:pPr>
      <w:r>
        <w:rPr>
          <w:rFonts w:ascii="Arial" w:cs="Arial" w:eastAsia="Arial" w:hAnsi="Arial"/>
          <w:sz w:val="24"/>
          <w:szCs w:val="24"/>
        </w:rPr>
        <w:t xml:space="preserve">- обращение взыскания на предмет залога исключительно через суд, если предмет залога имеет значительную историческую, художественную или иную культурную ценность для общества либо является единственным жильем, принадлежащим на праве собственности физическому лицу;</w:t>
      </w:r>
    </w:p>
    <w:p>
      <w:pPr>
        <w:spacing w:after="60"/>
        <w:ind w:firstLine="567"/>
        <w:jc w:val="both"/>
      </w:pPr>
      <w:r>
        <w:rPr>
          <w:rFonts w:ascii="Arial" w:cs="Arial" w:eastAsia="Arial" w:hAnsi="Arial"/>
          <w:sz w:val="24"/>
          <w:szCs w:val="24"/>
        </w:rPr>
        <w:t xml:space="preserve">- обязанность банка прекратить начисление неустойки (штрафов, пени) по истечении 15 (пятнадцати) дней с момента направления извещения о начале процедуры обращения взыскания на предмет залога по активу, несущему в себе кредитный риск, клиента/партнера - физического лица, в том числе индивидуального предпринимателя без образования юридического лица. Штрафные санкции и пени могут применяться в случаях, предусмотренных стандартами шариата. Размер неустойки (штрафов, пени), начисленной за весь период действия финансирования, не должен превышать 20 (двадцати) процентов от суммы выданного финансирования. При этом денежные средства, полученные в виде неустойки (штрафа, пени), должны быть направлены на благотворительные цели в организации, не аффилированные с финансово-кредитной организацией;</w:t>
      </w:r>
    </w:p>
    <w:p>
      <w:pPr>
        <w:spacing w:after="60"/>
        <w:ind w:firstLine="567"/>
        <w:jc w:val="both"/>
      </w:pPr>
      <w:r>
        <w:rPr>
          <w:rFonts w:ascii="Arial" w:cs="Arial" w:eastAsia="Arial" w:hAnsi="Arial"/>
          <w:sz w:val="24"/>
          <w:szCs w:val="24"/>
        </w:rPr>
        <w:t xml:space="preserve">- обязанность клиента/партнера физического лица, в том числе индивидуального предпринимателя, предоставлять информацию о наличии кредитов и активов, несущих в себе кредитный риск, в других финансово-кредитных организациях, включая кредиты и активы, несущие кредитный риск, супруга(и), родителей и детей, и о соблюдении кредитной дисциплины по данным кредитам и активам не реже чем один раз в полгода.";</w:t>
      </w:r>
    </w:p>
    <w:p>
      <w:pPr>
        <w:spacing w:after="60"/>
        <w:ind w:firstLine="567"/>
        <w:jc w:val="both"/>
      </w:pPr>
      <w:r>
        <w:rPr>
          <w:rFonts w:ascii="Arial" w:cs="Arial" w:eastAsia="Arial" w:hAnsi="Arial"/>
          <w:sz w:val="24"/>
          <w:szCs w:val="24"/>
        </w:rPr>
        <w:t xml:space="preserve">- пункт 47 дополнить абзацем вторым следующего содержания:</w:t>
      </w:r>
    </w:p>
    <w:p>
      <w:pPr>
        <w:spacing w:after="60"/>
        <w:ind w:firstLine="567"/>
        <w:jc w:val="both"/>
      </w:pPr>
      <w:r>
        <w:rPr>
          <w:rFonts w:ascii="Arial" w:cs="Arial" w:eastAsia="Arial" w:hAnsi="Arial"/>
          <w:sz w:val="24"/>
          <w:szCs w:val="24"/>
        </w:rPr>
        <w:t xml:space="preserve">"Примечание: При выявлении фактов использования клиентом/партнером финансирования по нецелевому назначению банк вправе применить штрафные санкции по финансированию. При этом внутренними документами банка должны быть предусмотрены нормы, устанавливающие четкие правила по мерам ответственности клиента/партнера, в том числе применение штрафных санкций по финансированию. В этом случае денежные средства, полученные в виде штрафных санкций, должны быть направлены на благотворительные цели в организации, не аффилированные с финансово-кредитным учреждением.";</w:t>
      </w:r>
    </w:p>
    <w:p>
      <w:pPr>
        <w:spacing w:after="60"/>
        <w:ind w:firstLine="567"/>
        <w:jc w:val="both"/>
      </w:pPr>
      <w:r>
        <w:rPr>
          <w:rFonts w:ascii="Arial" w:cs="Arial" w:eastAsia="Arial" w:hAnsi="Arial"/>
          <w:sz w:val="24"/>
          <w:szCs w:val="24"/>
        </w:rPr>
        <w:t xml:space="preserve">- абзац первый пункта 49 изложить в следующей редакции:</w:t>
      </w:r>
    </w:p>
    <w:p>
      <w:pPr>
        <w:spacing w:after="60"/>
        <w:ind w:firstLine="567"/>
        <w:jc w:val="both"/>
      </w:pPr>
      <w:r>
        <w:rPr>
          <w:rFonts w:ascii="Arial" w:cs="Arial" w:eastAsia="Arial" w:hAnsi="Arial"/>
          <w:sz w:val="24"/>
          <w:szCs w:val="24"/>
        </w:rPr>
        <w:t xml:space="preserve">"Каждый лист договора со всеми приложениями должен быть подписан клиентом/партнером на бумажном носителе либо в форме единого электронного документа, подписанного посредством электронной подписи, позволяющей удостоверить ее принадлежность стороне договора.";</w:t>
      </w:r>
    </w:p>
    <w:p>
      <w:pPr>
        <w:spacing w:after="60"/>
        <w:ind w:firstLine="567"/>
        <w:jc w:val="both"/>
      </w:pPr>
      <w:r>
        <w:rPr>
          <w:rFonts w:ascii="Arial" w:cs="Arial" w:eastAsia="Arial" w:hAnsi="Arial"/>
          <w:sz w:val="24"/>
          <w:szCs w:val="24"/>
        </w:rPr>
        <w:t xml:space="preserve">- в пункте 57:</w:t>
      </w:r>
    </w:p>
    <w:p>
      <w:pPr>
        <w:spacing w:after="60"/>
        <w:ind w:firstLine="567"/>
        <w:jc w:val="both"/>
      </w:pPr>
      <w:r>
        <w:rPr>
          <w:rFonts w:ascii="Arial" w:cs="Arial" w:eastAsia="Arial" w:hAnsi="Arial"/>
          <w:sz w:val="24"/>
          <w:szCs w:val="24"/>
        </w:rPr>
        <w:t xml:space="preserve">абзац второй изложить в следующей редакции:</w:t>
      </w:r>
    </w:p>
    <w:p>
      <w:pPr>
        <w:spacing w:after="60"/>
        <w:ind w:firstLine="567"/>
        <w:jc w:val="both"/>
      </w:pPr>
      <w:r>
        <w:rPr>
          <w:rFonts w:ascii="Arial" w:cs="Arial" w:eastAsia="Arial" w:hAnsi="Arial"/>
          <w:sz w:val="24"/>
          <w:szCs w:val="24"/>
        </w:rPr>
        <w:t xml:space="preserve">"- предмет залога и его залоговая стоимость (с учетом залогового коэффициента);";</w:t>
      </w:r>
    </w:p>
    <w:p>
      <w:pPr>
        <w:spacing w:after="60"/>
        <w:ind w:firstLine="567"/>
        <w:jc w:val="both"/>
      </w:pPr>
      <w:r>
        <w:rPr>
          <w:rFonts w:ascii="Arial" w:cs="Arial" w:eastAsia="Arial" w:hAnsi="Arial"/>
          <w:sz w:val="24"/>
          <w:szCs w:val="24"/>
        </w:rPr>
        <w:t xml:space="preserve">дополнить абзацем девятым следующего содержания:</w:t>
      </w:r>
    </w:p>
    <w:p>
      <w:pPr>
        <w:spacing w:after="60"/>
        <w:ind w:firstLine="567"/>
        <w:jc w:val="both"/>
      </w:pPr>
      <w:r>
        <w:rPr>
          <w:rFonts w:ascii="Arial" w:cs="Arial" w:eastAsia="Arial" w:hAnsi="Arial"/>
          <w:sz w:val="24"/>
          <w:szCs w:val="24"/>
        </w:rPr>
        <w:t xml:space="preserve">"При прекращении залога залогодержатель обязан составить извещение о прекращении залога, в случае если предмет залога подлежал регистрации, зарегистрировать это извещение в органе/органах, осуществляющих государственную регистрацию залога.";</w:t>
      </w:r>
    </w:p>
    <w:p>
      <w:pPr>
        <w:spacing w:after="60"/>
        <w:ind w:firstLine="567"/>
        <w:jc w:val="both"/>
      </w:pPr>
      <w:r>
        <w:rPr>
          <w:rFonts w:ascii="Arial" w:cs="Arial" w:eastAsia="Arial" w:hAnsi="Arial"/>
          <w:sz w:val="24"/>
          <w:szCs w:val="24"/>
        </w:rPr>
        <w:t xml:space="preserve">- в пункте 62:</w:t>
      </w:r>
    </w:p>
    <w:p>
      <w:pPr>
        <w:spacing w:after="60"/>
        <w:ind w:firstLine="567"/>
        <w:jc w:val="both"/>
      </w:pPr>
      <w:r>
        <w:rPr>
          <w:rFonts w:ascii="Arial" w:cs="Arial" w:eastAsia="Arial" w:hAnsi="Arial"/>
          <w:sz w:val="24"/>
          <w:szCs w:val="24"/>
        </w:rPr>
        <w:t xml:space="preserve">в абзаце втором первое предложение исключить;</w:t>
      </w:r>
    </w:p>
    <w:p>
      <w:pPr>
        <w:spacing w:after="60"/>
        <w:ind w:firstLine="567"/>
        <w:jc w:val="both"/>
      </w:pPr>
      <w:r>
        <w:rPr>
          <w:rFonts w:ascii="Arial" w:cs="Arial" w:eastAsia="Arial" w:hAnsi="Arial"/>
          <w:sz w:val="24"/>
          <w:szCs w:val="24"/>
        </w:rPr>
        <w:t xml:space="preserve">дополнить абзацем четвертым следующего содержания:</w:t>
      </w:r>
    </w:p>
    <w:p>
      <w:pPr>
        <w:spacing w:after="60"/>
        <w:ind w:firstLine="567"/>
        <w:jc w:val="both"/>
      </w:pPr>
      <w:r>
        <w:rPr>
          <w:rFonts w:ascii="Arial" w:cs="Arial" w:eastAsia="Arial" w:hAnsi="Arial"/>
          <w:sz w:val="24"/>
          <w:szCs w:val="24"/>
        </w:rPr>
        <w:t xml:space="preserve">"Примечание: В максимальный размер риска по бланковым активам также должны включаться все активы, несущие в себе кредитный риск, не обеспеченные залогом, выданные до даты вступления в силу постановления Правления Национального банка от "___" ___________ 20__ года № ___ и не соответствующие требованиям, указанным в данном постановлении Правления Национального банка.";</w:t>
      </w:r>
    </w:p>
    <w:p>
      <w:pPr>
        <w:spacing w:after="60"/>
        <w:ind w:firstLine="567"/>
        <w:jc w:val="both"/>
      </w:pPr>
      <w:r>
        <w:rPr>
          <w:rFonts w:ascii="Arial" w:cs="Arial" w:eastAsia="Arial" w:hAnsi="Arial"/>
          <w:sz w:val="24"/>
          <w:szCs w:val="24"/>
        </w:rPr>
        <w:t xml:space="preserve">- в пункте 65:</w:t>
      </w:r>
    </w:p>
    <w:p>
      <w:pPr>
        <w:spacing w:after="60"/>
        <w:ind w:firstLine="567"/>
        <w:jc w:val="both"/>
      </w:pPr>
      <w:r>
        <w:rPr>
          <w:rFonts w:ascii="Arial" w:cs="Arial" w:eastAsia="Arial" w:hAnsi="Arial"/>
          <w:sz w:val="24"/>
          <w:szCs w:val="24"/>
        </w:rPr>
        <w:t xml:space="preserve">абзац первый изложить в следующей редакции:</w:t>
      </w:r>
    </w:p>
    <w:p>
      <w:pPr>
        <w:spacing w:after="60"/>
        <w:ind w:firstLine="567"/>
        <w:jc w:val="both"/>
      </w:pPr>
      <w:r>
        <w:rPr>
          <w:rFonts w:ascii="Arial" w:cs="Arial" w:eastAsia="Arial" w:hAnsi="Arial"/>
          <w:sz w:val="24"/>
          <w:szCs w:val="24"/>
        </w:rPr>
        <w:t xml:space="preserve">"Банк вправе осуществлять расчет норматива максимального размера риска по бланковым активам, несущим в себе кредитный риск, в части группового финансирования в соответствии с пунктом 66 настоящего Положения, при соблюдении всех следующих условий:";</w:t>
      </w:r>
    </w:p>
    <w:p>
      <w:pPr>
        <w:spacing w:after="60"/>
        <w:ind w:firstLine="567"/>
        <w:jc w:val="both"/>
      </w:pPr>
      <w:r>
        <w:rPr>
          <w:rFonts w:ascii="Arial" w:cs="Arial" w:eastAsia="Arial" w:hAnsi="Arial"/>
          <w:sz w:val="24"/>
          <w:szCs w:val="24"/>
        </w:rPr>
        <w:t xml:space="preserve">дополнить абзацем четвертым следующего содержания:</w:t>
      </w:r>
    </w:p>
    <w:p>
      <w:pPr>
        <w:spacing w:after="60"/>
        <w:ind w:firstLine="567"/>
        <w:jc w:val="both"/>
      </w:pPr>
      <w:r>
        <w:rPr>
          <w:rFonts w:ascii="Arial" w:cs="Arial" w:eastAsia="Arial" w:hAnsi="Arial"/>
          <w:sz w:val="24"/>
          <w:szCs w:val="24"/>
        </w:rPr>
        <w:t xml:space="preserve">"Требования данного пункта действуют для активов, несущих в себе кредитный риск, соответствующих критериям бланковых активов, несущих в себе кредитный риск, выданных до даты вступления в силу постановления Правления Национального банка от "___" ___________ 20__ года № ___.";</w:t>
      </w:r>
    </w:p>
    <w:p>
      <w:pPr>
        <w:spacing w:after="60"/>
        <w:ind w:firstLine="567"/>
        <w:jc w:val="both"/>
      </w:pPr>
      <w:r>
        <w:rPr>
          <w:rFonts w:ascii="Arial" w:cs="Arial" w:eastAsia="Arial" w:hAnsi="Arial"/>
          <w:sz w:val="24"/>
          <w:szCs w:val="24"/>
        </w:rPr>
        <w:t xml:space="preserve">- </w:t>
      </w:r>
      <w:hyperlink w:history="1" r:id="rIdxi9drkxjpduvwijlhq8_p">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дополнить пунктом 65-1 следующего содержания:</w:t>
      </w:r>
    </w:p>
    <w:p>
      <w:pPr>
        <w:spacing w:after="60"/>
        <w:ind w:firstLine="567"/>
        <w:jc w:val="both"/>
      </w:pPr>
      <w:r>
        <w:rPr>
          <w:rFonts w:ascii="Arial" w:cs="Arial" w:eastAsia="Arial" w:hAnsi="Arial"/>
          <w:sz w:val="24"/>
          <w:szCs w:val="24"/>
        </w:rPr>
        <w:t xml:space="preserve">"65-1. Требования пункта 65 настоящего Положения не распространяются на расчет норматива максимального размера риска по бланковым активам для банков, в которых доля групповых активов, несущих в себе кредитный риск, от общего портфеля финансирования составляет 5% и менее, а также для банков, которые утвердили стратегию (план) по снижению портфеля групповых активов до 5% и менее в срок до 31 декабря 2021 года.";</w:t>
      </w:r>
    </w:p>
    <w:p>
      <w:pPr>
        <w:spacing w:after="60"/>
        <w:ind w:firstLine="567"/>
        <w:jc w:val="both"/>
      </w:pPr>
      <w:r>
        <w:rPr>
          <w:rFonts w:ascii="Arial" w:cs="Arial" w:eastAsia="Arial" w:hAnsi="Arial"/>
          <w:sz w:val="24"/>
          <w:szCs w:val="24"/>
        </w:rPr>
        <w:t xml:space="preserve">- в пункте 66:</w:t>
      </w:r>
    </w:p>
    <w:p>
      <w:pPr>
        <w:spacing w:after="60"/>
        <w:ind w:firstLine="567"/>
        <w:jc w:val="both"/>
      </w:pPr>
      <w:r>
        <w:rPr>
          <w:rFonts w:ascii="Arial" w:cs="Arial" w:eastAsia="Arial" w:hAnsi="Arial"/>
          <w:sz w:val="24"/>
          <w:szCs w:val="24"/>
        </w:rPr>
        <w:t xml:space="preserve">абзац первый изложить в следующей редакции:</w:t>
      </w:r>
    </w:p>
    <w:p>
      <w:pPr>
        <w:spacing w:after="60"/>
        <w:ind w:firstLine="567"/>
        <w:jc w:val="both"/>
      </w:pPr>
      <w:r>
        <w:rPr>
          <w:rFonts w:ascii="Arial" w:cs="Arial" w:eastAsia="Arial" w:hAnsi="Arial"/>
          <w:sz w:val="24"/>
          <w:szCs w:val="24"/>
        </w:rPr>
        <w:t xml:space="preserve">"При расчете норматива максимального размера риска по бланковым активам, несущим в себе кредитный риск, исключаются групповые активы, несущие в себе кредитный риск, предоставленные под солидарную ответственность членов ГСО, если они отвечают всем следующим критериям:";</w:t>
      </w:r>
    </w:p>
    <w:p>
      <w:pPr>
        <w:spacing w:after="60"/>
        <w:ind w:firstLine="567"/>
        <w:jc w:val="both"/>
      </w:pPr>
      <w:r>
        <w:rPr>
          <w:rFonts w:ascii="Arial" w:cs="Arial" w:eastAsia="Arial" w:hAnsi="Arial"/>
          <w:sz w:val="24"/>
          <w:szCs w:val="24"/>
        </w:rPr>
        <w:t xml:space="preserve">в абзаце втором слова "не более 2500000 сом" заменить словами "не более 1500000 сомов";</w:t>
      </w:r>
    </w:p>
    <w:p>
      <w:pPr>
        <w:spacing w:after="60"/>
        <w:ind w:firstLine="567"/>
        <w:jc w:val="both"/>
      </w:pPr>
      <w:r>
        <w:rPr>
          <w:rFonts w:ascii="Arial" w:cs="Arial" w:eastAsia="Arial" w:hAnsi="Arial"/>
          <w:sz w:val="24"/>
          <w:szCs w:val="24"/>
        </w:rPr>
        <w:t xml:space="preserve">дополнить абзацем пятым следующего содержания:</w:t>
      </w:r>
    </w:p>
    <w:p>
      <w:pPr>
        <w:spacing w:after="60"/>
        <w:ind w:firstLine="567"/>
        <w:jc w:val="both"/>
      </w:pPr>
      <w:r>
        <w:rPr>
          <w:rFonts w:ascii="Arial" w:cs="Arial" w:eastAsia="Arial" w:hAnsi="Arial"/>
          <w:sz w:val="24"/>
          <w:szCs w:val="24"/>
        </w:rPr>
        <w:t xml:space="preserve">"Требования данного пункта действуют для активов, несущих в себе кредитный риск, соответствующих критериям бланковых активов, несущих в себе кредитный риск, выданных до даты вступления в силу постановления Правления Национального банка от "___" ___________ 20__ года № ___.";</w:t>
      </w:r>
    </w:p>
    <w:p>
      <w:pPr>
        <w:spacing w:after="60"/>
        <w:ind w:firstLine="567"/>
        <w:jc w:val="both"/>
      </w:pPr>
      <w:r>
        <w:rPr>
          <w:rFonts w:ascii="Arial" w:cs="Arial" w:eastAsia="Arial" w:hAnsi="Arial"/>
          <w:sz w:val="24"/>
          <w:szCs w:val="24"/>
        </w:rPr>
        <w:t xml:space="preserve">- </w:t>
      </w:r>
      <w:hyperlink w:history="1" r:id="rIdbswfdowiqr8m3objx98ks">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дополнить пунктом 66-1 следующего содержания:</w:t>
      </w:r>
    </w:p>
    <w:p>
      <w:pPr>
        <w:spacing w:after="60"/>
        <w:ind w:firstLine="567"/>
        <w:jc w:val="both"/>
      </w:pPr>
      <w:r>
        <w:rPr>
          <w:rFonts w:ascii="Arial" w:cs="Arial" w:eastAsia="Arial" w:hAnsi="Arial"/>
          <w:sz w:val="24"/>
          <w:szCs w:val="24"/>
        </w:rPr>
        <w:t xml:space="preserve">"66-1. При расчете норматива максимального размера риска по бланковым активам, несущим в себе кредитный риск, исключаются активы в форме контрактного финансирования, которые отвечают всем следующим критериям:</w:t>
      </w:r>
    </w:p>
    <w:p>
      <w:pPr>
        <w:spacing w:after="60"/>
        <w:ind w:firstLine="567"/>
        <w:jc w:val="both"/>
      </w:pPr>
      <w:r>
        <w:rPr>
          <w:rFonts w:ascii="Arial" w:cs="Arial" w:eastAsia="Arial" w:hAnsi="Arial"/>
          <w:sz w:val="24"/>
          <w:szCs w:val="24"/>
        </w:rPr>
        <w:t xml:space="preserve">- остаток задолженности по активу в форме контрактного финансирования составляет не более 3% от общего объема портфеля финансирования банка;</w:t>
      </w:r>
    </w:p>
    <w:p>
      <w:pPr>
        <w:spacing w:after="60"/>
        <w:ind w:firstLine="567"/>
        <w:jc w:val="both"/>
      </w:pPr>
      <w:r>
        <w:rPr>
          <w:rFonts w:ascii="Arial" w:cs="Arial" w:eastAsia="Arial" w:hAnsi="Arial"/>
          <w:sz w:val="24"/>
          <w:szCs w:val="24"/>
        </w:rPr>
        <w:t xml:space="preserve">- доля просроченных активов, выданных в форме контрактного финансирования, в общем объеме портфеля финансирования составляет в течение последних 6 (шести) месяцев не более 1%, а в общем объеме данных активов, несущих в себе кредитный риск, в течение последних 12 (двенадцати) месяцев не превышает 2%;</w:t>
      </w:r>
    </w:p>
    <w:p>
      <w:pPr>
        <w:spacing w:after="60"/>
        <w:ind w:firstLine="567"/>
        <w:jc w:val="both"/>
      </w:pPr>
      <w:r>
        <w:rPr>
          <w:rFonts w:ascii="Arial" w:cs="Arial" w:eastAsia="Arial" w:hAnsi="Arial"/>
          <w:sz w:val="24"/>
          <w:szCs w:val="24"/>
        </w:rPr>
        <w:t xml:space="preserve">- расчеты между клиентом/партнером и его контрагентами по контрактному финансированию осуществляются только через счета клиента/партнера в данном банке;</w:t>
      </w:r>
    </w:p>
    <w:p>
      <w:pPr>
        <w:spacing w:after="60"/>
        <w:ind w:firstLine="567"/>
        <w:jc w:val="both"/>
      </w:pPr>
      <w:r>
        <w:rPr>
          <w:rFonts w:ascii="Arial" w:cs="Arial" w:eastAsia="Arial" w:hAnsi="Arial"/>
          <w:sz w:val="24"/>
          <w:szCs w:val="24"/>
        </w:rPr>
        <w:t xml:space="preserve">- клиент/партнер, получивший актив, несущий в себе кредитный риск, его гарант/поручитель (если имеется), а также контрагент данного клиента/партнера не являются связанными с банком лицами или аффилированными лицами банка.</w:t>
      </w:r>
    </w:p>
    <w:p>
      <w:pPr>
        <w:spacing w:after="60"/>
        <w:ind w:firstLine="567"/>
        <w:jc w:val="both"/>
      </w:pPr>
      <w:r>
        <w:rPr>
          <w:rFonts w:ascii="Arial" w:cs="Arial" w:eastAsia="Arial" w:hAnsi="Arial"/>
          <w:sz w:val="24"/>
          <w:szCs w:val="24"/>
        </w:rPr>
        <w:t xml:space="preserve">Требования данного пункта действуют для активов, несущих в себе кредитный риск, соответствующих критериям бланковых активов, несущих в себе кредитный риск, выданных до даты вступления в силу постановления Правления Национального банка от "___" ____________ 20__ года № ___."; </w:t>
      </w:r>
    </w:p>
    <w:p>
      <w:pPr>
        <w:spacing w:after="60"/>
        <w:ind w:firstLine="567"/>
        <w:jc w:val="both"/>
      </w:pPr>
      <w:r>
        <w:rPr>
          <w:rFonts w:ascii="Arial" w:cs="Arial" w:eastAsia="Arial" w:hAnsi="Arial"/>
          <w:sz w:val="24"/>
          <w:szCs w:val="24"/>
        </w:rPr>
        <w:t xml:space="preserve">- в пункте 68-1:</w:t>
      </w:r>
    </w:p>
    <w:p>
      <w:pPr>
        <w:spacing w:after="60"/>
        <w:ind w:firstLine="567"/>
        <w:jc w:val="both"/>
      </w:pPr>
      <w:r>
        <w:rPr>
          <w:rFonts w:ascii="Arial" w:cs="Arial" w:eastAsia="Arial" w:hAnsi="Arial"/>
          <w:sz w:val="24"/>
          <w:szCs w:val="24"/>
        </w:rPr>
        <w:t xml:space="preserve">абзац третий изложить в следующей редакции:</w:t>
      </w:r>
    </w:p>
    <w:p>
      <w:pPr>
        <w:spacing w:after="60"/>
        <w:ind w:firstLine="567"/>
        <w:jc w:val="both"/>
      </w:pPr>
      <w:r>
        <w:rPr>
          <w:rFonts w:ascii="Arial" w:cs="Arial" w:eastAsia="Arial" w:hAnsi="Arial"/>
          <w:sz w:val="24"/>
          <w:szCs w:val="24"/>
        </w:rPr>
        <w:t xml:space="preserve">"- не реже одного раза в год для остальных активов, за исключением активов до 100000 сомов. По активам до 100000 сомов проводится платежный мониторинг, предполагающий анализ на основе произведенных платежей по активу.";</w:t>
      </w:r>
    </w:p>
    <w:p>
      <w:pPr>
        <w:spacing w:after="60"/>
        <w:ind w:firstLine="567"/>
        <w:jc w:val="both"/>
      </w:pPr>
      <w:r>
        <w:rPr>
          <w:rFonts w:ascii="Arial" w:cs="Arial" w:eastAsia="Arial" w:hAnsi="Arial"/>
          <w:sz w:val="24"/>
          <w:szCs w:val="24"/>
        </w:rPr>
        <w:t xml:space="preserve">дополнить абзацем четвертым следующего содержания:</w:t>
      </w:r>
    </w:p>
    <w:p>
      <w:pPr>
        <w:spacing w:after="60"/>
        <w:ind w:firstLine="567"/>
        <w:jc w:val="both"/>
      </w:pPr>
      <w:r>
        <w:rPr>
          <w:rFonts w:ascii="Arial" w:cs="Arial" w:eastAsia="Arial" w:hAnsi="Arial"/>
          <w:sz w:val="24"/>
          <w:szCs w:val="24"/>
        </w:rPr>
        <w:t xml:space="preserve">"Также банку необходимо установить соответствующий уровень контроля за использованием и состоянием обеспечения актива, несущего в себе кредитный риск, в частности банк должен определять, не ухудшилось ли качество предоставленного обеспечения, не привели ли обстоятельства к снижению его стоимости, ухудшению финансового состояния гаранта/поручителя и будет ли банк способен к реализации обеспечения в случае неисполнения клиентом/партнером обязательства и взысканию задолженности с гаранта/поручителя.";</w:t>
      </w:r>
    </w:p>
    <w:p>
      <w:pPr>
        <w:spacing w:after="60"/>
        <w:ind w:firstLine="567"/>
        <w:jc w:val="both"/>
      </w:pPr>
      <w:r>
        <w:rPr>
          <w:rFonts w:ascii="Arial" w:cs="Arial" w:eastAsia="Arial" w:hAnsi="Arial"/>
          <w:sz w:val="24"/>
          <w:szCs w:val="24"/>
        </w:rPr>
        <w:t xml:space="preserve">- в пункте 74 абзацы пятый и восьмой признать утратившими силу;</w:t>
      </w:r>
    </w:p>
    <w:p>
      <w:pPr>
        <w:spacing w:after="60"/>
        <w:ind w:firstLine="567"/>
        <w:jc w:val="both"/>
      </w:pPr>
      <w:r>
        <w:rPr>
          <w:rFonts w:ascii="Arial" w:cs="Arial" w:eastAsia="Arial" w:hAnsi="Arial"/>
          <w:sz w:val="24"/>
          <w:szCs w:val="24"/>
        </w:rPr>
        <w:t xml:space="preserve">- пункт 80 изложить в следующей редакции:</w:t>
      </w:r>
    </w:p>
    <w:p>
      <w:pPr>
        <w:spacing w:after="60"/>
        <w:ind w:firstLine="567"/>
        <w:jc w:val="both"/>
      </w:pPr>
      <w:r>
        <w:rPr>
          <w:rFonts w:ascii="Arial" w:cs="Arial" w:eastAsia="Arial" w:hAnsi="Arial"/>
          <w:sz w:val="24"/>
          <w:szCs w:val="24"/>
        </w:rPr>
        <w:t xml:space="preserve">"80. Мероприятия по организационной, финансовой и иной помощи банка проблемному клиенту, способствующие преодолению кризиса и выполнению обязательств клиента перед банком, могут включать:</w:t>
      </w:r>
    </w:p>
    <w:p>
      <w:pPr>
        <w:spacing w:after="60"/>
        <w:ind w:firstLine="567"/>
        <w:jc w:val="both"/>
      </w:pPr>
      <w:r>
        <w:rPr>
          <w:rFonts w:ascii="Arial" w:cs="Arial" w:eastAsia="Arial" w:hAnsi="Arial"/>
          <w:sz w:val="24"/>
          <w:szCs w:val="24"/>
        </w:rPr>
        <w:t xml:space="preserve">- работу с клиентом (его руководством) по выявлению проблем и поиску их решений;</w:t>
      </w:r>
    </w:p>
    <w:p>
      <w:pPr>
        <w:spacing w:after="60"/>
        <w:ind w:firstLine="567"/>
        <w:jc w:val="both"/>
      </w:pPr>
      <w:r>
        <w:rPr>
          <w:rFonts w:ascii="Arial" w:cs="Arial" w:eastAsia="Arial" w:hAnsi="Arial"/>
          <w:sz w:val="24"/>
          <w:szCs w:val="24"/>
        </w:rPr>
        <w:t xml:space="preserve">- назначение с согласия клиента/партнера управляющих, консультантов для работы с предприятием клиента/партнера от имени банка;</w:t>
      </w:r>
    </w:p>
    <w:p>
      <w:pPr>
        <w:spacing w:after="60"/>
        <w:ind w:firstLine="567"/>
        <w:jc w:val="both"/>
      </w:pPr>
      <w:r>
        <w:rPr>
          <w:rFonts w:ascii="Arial" w:cs="Arial" w:eastAsia="Arial" w:hAnsi="Arial"/>
          <w:sz w:val="24"/>
          <w:szCs w:val="24"/>
        </w:rPr>
        <w:t xml:space="preserve">- содействие в увеличении собственного капитала компании за счет владельцев или других сторон;</w:t>
      </w:r>
    </w:p>
    <w:p>
      <w:pPr>
        <w:spacing w:after="60"/>
        <w:ind w:firstLine="567"/>
        <w:jc w:val="both"/>
      </w:pPr>
      <w:r>
        <w:rPr>
          <w:rFonts w:ascii="Arial" w:cs="Arial" w:eastAsia="Arial" w:hAnsi="Arial"/>
          <w:sz w:val="24"/>
          <w:szCs w:val="24"/>
        </w:rPr>
        <w:t xml:space="preserve">- в случае необходимости разработку программы изменения структуры задолженности (пересмотр графика платежей по возврату актива, несущего в себе кредитный риск, и выплате наценки/дохода по нему, изменение форм финансирования и др.);</w:t>
      </w:r>
    </w:p>
    <w:p>
      <w:pPr>
        <w:spacing w:after="60"/>
        <w:ind w:firstLine="567"/>
        <w:jc w:val="both"/>
      </w:pPr>
      <w:r>
        <w:rPr>
          <w:rFonts w:ascii="Arial" w:cs="Arial" w:eastAsia="Arial" w:hAnsi="Arial"/>
          <w:sz w:val="24"/>
          <w:szCs w:val="24"/>
        </w:rPr>
        <w:t xml:space="preserve">- получение дополнительного залога и гарантий и др.</w:t>
      </w:r>
    </w:p>
    <w:p>
      <w:pPr>
        <w:spacing w:after="60"/>
        <w:ind w:firstLine="567"/>
        <w:jc w:val="both"/>
      </w:pPr>
      <w:r>
        <w:rPr>
          <w:rFonts w:ascii="Arial" w:cs="Arial" w:eastAsia="Arial" w:hAnsi="Arial"/>
          <w:sz w:val="24"/>
          <w:szCs w:val="24"/>
        </w:rPr>
        <w:t xml:space="preserve">При реструктуризации актива, несущего в себе кредитный риск, банку необходимо рассматривать текущее финансовое состояние и степень доверия банка к клиенту/партнеру. Банк может реструктуризировать актив только в том случае, если клиент/партнер имеет реальные возможности по исполнению своих обязательств по измененным условиям своего актива, что должно подтверждаться проведенным анализом и соответствующими документами.</w:t>
      </w:r>
    </w:p>
    <w:p>
      <w:pPr>
        <w:spacing w:after="60"/>
        <w:ind w:firstLine="567"/>
        <w:jc w:val="both"/>
      </w:pPr>
      <w:r>
        <w:rPr>
          <w:rFonts w:ascii="Arial" w:cs="Arial" w:eastAsia="Arial" w:hAnsi="Arial"/>
          <w:sz w:val="24"/>
          <w:szCs w:val="24"/>
        </w:rPr>
        <w:t xml:space="preserve">Досье клиента/партнера, чей актив был реструктурирован, должно включать в себя всю информацию о текущем финансовом состоянии клиента/партнера и его возможности погасить актив, несущий в себе кредитный риск, а также информацию и соответствующие документы о проведенной реструктуризации.";</w:t>
      </w:r>
    </w:p>
    <w:p>
      <w:pPr>
        <w:spacing w:after="60"/>
        <w:ind w:firstLine="567"/>
        <w:jc w:val="both"/>
      </w:pPr>
      <w:r>
        <w:rPr>
          <w:rFonts w:ascii="Arial" w:cs="Arial" w:eastAsia="Arial" w:hAnsi="Arial"/>
          <w:sz w:val="24"/>
          <w:szCs w:val="24"/>
        </w:rPr>
        <w:t xml:space="preserve">- в пункте 85 слово "ежемесячной" заменить словом "ежеквартальной";</w:t>
      </w:r>
    </w:p>
    <w:p>
      <w:pPr>
        <w:spacing w:after="60"/>
        <w:ind w:firstLine="567"/>
        <w:jc w:val="both"/>
      </w:pPr>
      <w:r>
        <w:rPr>
          <w:rFonts w:ascii="Arial" w:cs="Arial" w:eastAsia="Arial" w:hAnsi="Arial"/>
          <w:sz w:val="24"/>
          <w:szCs w:val="24"/>
        </w:rPr>
        <w:t xml:space="preserve">- </w:t>
      </w:r>
      <w:hyperlink w:history="1" r:id="rIdzxkis90x7amzo6qlu5odt">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дополнить пунктом 86-1 следующего содержания:</w:t>
      </w:r>
    </w:p>
    <w:p>
      <w:pPr>
        <w:spacing w:after="60"/>
        <w:ind w:firstLine="567"/>
        <w:jc w:val="both"/>
      </w:pPr>
      <w:r>
        <w:rPr>
          <w:rFonts w:ascii="Arial" w:cs="Arial" w:eastAsia="Arial" w:hAnsi="Arial"/>
          <w:sz w:val="24"/>
          <w:szCs w:val="24"/>
        </w:rPr>
        <w:t xml:space="preserve">"86-1. Банк может инициировать процедуру обращения взыскания на заложенное недвижимое имущество по активу, несущему в себе кредитный риск, при систематическом нарушении исполнения обязательств клиентом/партнером более чем на 3 (три) последовательных месяца (согласно действующему графику погашения по договору клиента/партнера), предшествующих дате направления извещения о начале процедуры обращения взыскания на предмет залога во внесудебном порядке.";</w:t>
      </w:r>
    </w:p>
    <w:p>
      <w:pPr>
        <w:spacing w:after="60"/>
        <w:ind w:firstLine="567"/>
        <w:jc w:val="both"/>
      </w:pPr>
      <w:r>
        <w:rPr>
          <w:rFonts w:ascii="Arial" w:cs="Arial" w:eastAsia="Arial" w:hAnsi="Arial"/>
          <w:sz w:val="24"/>
          <w:szCs w:val="24"/>
        </w:rPr>
        <w:t xml:space="preserve">- в </w:t>
      </w:r>
      <w:hyperlink w:history="1" r:id="rIdfqhrfufxba10yd1t-kok0">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к Положению:</w:t>
      </w:r>
    </w:p>
    <w:p>
      <w:pPr>
        <w:spacing w:after="60"/>
        <w:ind w:firstLine="567"/>
        <w:jc w:val="both"/>
      </w:pPr>
      <w:r>
        <w:rPr>
          <w:rFonts w:ascii="Arial" w:cs="Arial" w:eastAsia="Arial" w:hAnsi="Arial"/>
          <w:sz w:val="24"/>
          <w:szCs w:val="24"/>
        </w:rPr>
        <w:t xml:space="preserve">пункт 2 изложить в следующей редакции:</w:t>
      </w:r>
    </w:p>
    <w:p>
      <w:pPr>
        <w:spacing w:after="60"/>
        <w:ind w:firstLine="567"/>
        <w:jc w:val="both"/>
      </w:pPr>
      <w:r>
        <w:rPr>
          <w:rFonts w:ascii="Arial" w:cs="Arial" w:eastAsia="Arial" w:hAnsi="Arial"/>
          <w:sz w:val="24"/>
          <w:szCs w:val="24"/>
        </w:rPr>
        <w:t xml:space="preserve">"2. Физическим лицам, осуществляющим индивидуальную предпринимательскую деятельность без образования юридического лица, помимо вышеуказанных документов, необходимо представить банку копию документа установленной формы, выданного уполномоченным органом и подтверждающего факт прохождения государственной регистрации (перерегистрации) в качестве индивидуального предпринимателя, или копию документа, подтверждающего факт осуществления предпринимательской деятельности без государственной регистрации в случаях, предусмотренных законодательством Кыргызской Республики, за исключением физических лиц, которым выдано финансирование в размере не более 250000 сомов с предоставлением документов, удостоверяющих право землепользования, или документов о наличии скота, а также физических лиц, которым выданы активы, несущие в себе кредитный риск, в рамках правительственных программ, направленных на развитие сельского хозяйства.";</w:t>
      </w:r>
    </w:p>
    <w:p>
      <w:pPr>
        <w:spacing w:after="60"/>
        <w:ind w:firstLine="567"/>
        <w:jc w:val="both"/>
      </w:pPr>
      <w:r>
        <w:rPr>
          <w:rFonts w:ascii="Arial" w:cs="Arial" w:eastAsia="Arial" w:hAnsi="Arial"/>
          <w:sz w:val="24"/>
          <w:szCs w:val="24"/>
        </w:rPr>
        <w:t xml:space="preserve">абзац первый пункта 9 изложить в следующей редакции:</w:t>
      </w:r>
    </w:p>
    <w:p>
      <w:pPr>
        <w:spacing w:after="60"/>
        <w:ind w:firstLine="567"/>
        <w:jc w:val="both"/>
      </w:pPr>
      <w:r>
        <w:rPr>
          <w:rFonts w:ascii="Arial" w:cs="Arial" w:eastAsia="Arial" w:hAnsi="Arial"/>
          <w:sz w:val="24"/>
          <w:szCs w:val="24"/>
        </w:rPr>
        <w:t xml:space="preserve">"Документ из государственных органов о регистрации (если клиент/партнер - юридическое лицо или физическое лицо, осуществляющее предпринимательскую деятельность на основе свидетельства или патента), за исключением физических лиц - сельскохозяйственных производителей, которым выдано финансирование в размере не более 250000 сомов с предоставлением документов, удостоверяющих право землепользования, или документов о наличии скота, а также лиц, которым выданы активы, несущие в себе кредитный риск, в рамках правительственных программ, направленных на развитие сельского хозяйства.";</w:t>
      </w:r>
    </w:p>
    <w:p>
      <w:pPr>
        <w:spacing w:after="60"/>
        <w:ind w:firstLine="567"/>
        <w:jc w:val="both"/>
      </w:pPr>
      <w:r>
        <w:rPr>
          <w:rFonts w:ascii="Arial" w:cs="Arial" w:eastAsia="Arial" w:hAnsi="Arial"/>
          <w:sz w:val="24"/>
          <w:szCs w:val="24"/>
        </w:rPr>
        <w:t xml:space="preserve">в пункте 25 слова "оценочная стоимость залога" заменить словами "рыночная стоимость залога (при необходимости с учетом применения установленных коэффициентов)";</w:t>
      </w:r>
    </w:p>
    <w:p>
      <w:pPr>
        <w:spacing w:after="60"/>
        <w:ind w:firstLine="567"/>
        <w:jc w:val="both"/>
      </w:pPr>
      <w:r>
        <w:rPr>
          <w:rFonts w:ascii="Arial" w:cs="Arial" w:eastAsia="Arial" w:hAnsi="Arial"/>
          <w:sz w:val="24"/>
          <w:szCs w:val="24"/>
        </w:rPr>
        <w:t xml:space="preserve">в пункте 28 слова "оценочная стоимость залога" заменить словами "рыночная стоимость залога (при необходимости с учетом применения установленных коэффициентов)";</w:t>
      </w:r>
    </w:p>
    <w:p>
      <w:pPr>
        <w:spacing w:after="60"/>
        <w:ind w:firstLine="567"/>
        <w:jc w:val="both"/>
      </w:pPr>
      <w:r>
        <w:rPr>
          <w:rFonts w:ascii="Arial" w:cs="Arial" w:eastAsia="Arial" w:hAnsi="Arial"/>
          <w:sz w:val="24"/>
          <w:szCs w:val="24"/>
        </w:rPr>
        <w:t xml:space="preserve">- в </w:t>
      </w:r>
      <w:hyperlink w:history="1" r:id="rIdd3qqnei8caqmrpjtnkovw">
        <w:r>
          <w:rPr>
            <w:rFonts w:ascii="Arial" w:cs="Arial" w:eastAsia="Arial" w:hAnsi="Arial"/>
            <w:color w:val="1D4ED8"/>
            <w:sz w:val="24"/>
            <w:szCs w:val="24"/>
            <w:u w:val="single"/>
          </w:rPr>
          <w:t xml:space="preserve">Приложении 2</w:t>
        </w:r>
      </w:hyperlink>
      <w:r>
        <w:rPr>
          <w:rFonts w:ascii="Arial" w:cs="Arial" w:eastAsia="Arial" w:hAnsi="Arial"/>
          <w:sz w:val="24"/>
          <w:szCs w:val="24"/>
        </w:rPr>
        <w:t xml:space="preserve"> к Положению:</w:t>
      </w:r>
    </w:p>
    <w:p>
      <w:pPr>
        <w:spacing w:after="60"/>
        <w:ind w:firstLine="567"/>
        <w:jc w:val="both"/>
      </w:pPr>
      <w:r>
        <w:rPr>
          <w:rFonts w:ascii="Arial" w:cs="Arial" w:eastAsia="Arial" w:hAnsi="Arial"/>
          <w:sz w:val="24"/>
          <w:szCs w:val="24"/>
        </w:rPr>
        <w:t xml:space="preserve">пункт 7 признать утратившим силу;</w:t>
      </w:r>
    </w:p>
    <w:p>
      <w:pPr>
        <w:spacing w:after="60"/>
        <w:ind w:firstLine="567"/>
        <w:jc w:val="both"/>
      </w:pPr>
      <w:r>
        <w:rPr>
          <w:rFonts w:ascii="Arial" w:cs="Arial" w:eastAsia="Arial" w:hAnsi="Arial"/>
          <w:sz w:val="24"/>
          <w:szCs w:val="24"/>
        </w:rPr>
        <w:t xml:space="preserve">- </w:t>
      </w:r>
      <w:hyperlink w:history="1" r:id="rId3dryfbao-k2y7dq_k4l9e">
        <w:r>
          <w:rPr>
            <w:rFonts w:ascii="Arial" w:cs="Arial" w:eastAsia="Arial" w:hAnsi="Arial"/>
            <w:color w:val="1D4ED8"/>
            <w:sz w:val="24"/>
            <w:szCs w:val="24"/>
            <w:u w:val="single"/>
          </w:rPr>
          <w:t xml:space="preserve">Приложение 5</w:t>
        </w:r>
      </w:hyperlink>
      <w:r>
        <w:rPr>
          <w:rFonts w:ascii="Arial" w:cs="Arial" w:eastAsia="Arial" w:hAnsi="Arial"/>
          <w:sz w:val="24"/>
          <w:szCs w:val="24"/>
        </w:rPr>
        <w:t xml:space="preserve"> признать утратившим силу;</w:t>
      </w:r>
    </w:p>
    <w:p>
      <w:pPr>
        <w:spacing w:after="60"/>
        <w:ind w:firstLine="567"/>
        <w:jc w:val="both"/>
      </w:pPr>
      <w:r>
        <w:rPr>
          <w:rFonts w:ascii="Arial" w:cs="Arial" w:eastAsia="Arial" w:hAnsi="Arial"/>
          <w:sz w:val="24"/>
          <w:szCs w:val="24"/>
        </w:rPr>
        <w:t xml:space="preserve">- </w:t>
      </w:r>
      <w:hyperlink w:history="1" r:id="rIdh6vwzxvtoqt_gsvzsrbnb">
        <w:r>
          <w:rPr>
            <w:rFonts w:ascii="Arial" w:cs="Arial" w:eastAsia="Arial" w:hAnsi="Arial"/>
            <w:color w:val="1D4ED8"/>
            <w:sz w:val="24"/>
            <w:szCs w:val="24"/>
            <w:u w:val="single"/>
          </w:rPr>
          <w:t xml:space="preserve">Приложение 6</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i/>
          <w:iCs/>
          <w:sz w:val="24"/>
          <w:szCs w:val="24"/>
        </w:rPr>
        <w:t xml:space="preserve">Примечание ИЦ "Токтом": Количество абзацев в пункте 2 настоящего п</w:t>
      </w:r>
      <w:r>
        <w:rPr>
          <w:rFonts w:ascii="Arial" w:cs="Arial" w:eastAsia="Arial" w:hAnsi="Arial"/>
          <w:i/>
          <w:iCs/>
          <w:sz w:val="24"/>
          <w:szCs w:val="24"/>
        </w:rPr>
        <w:t xml:space="preserve">рило</w:t>
      </w:r>
      <w:r>
        <w:rPr>
          <w:rFonts w:ascii="Arial" w:cs="Arial" w:eastAsia="Arial" w:hAnsi="Arial"/>
          <w:i/>
          <w:iCs/>
          <w:sz w:val="24"/>
          <w:szCs w:val="24"/>
        </w:rPr>
        <w:t xml:space="preserve">жения не соответствует количеству абзацев в пункте 2 текста на государственном языке.</w:t>
      </w:r>
    </w:p>
    <w:p>
      <w:pPr>
        <w:spacing w:after="120"/>
        <w:jc w:val="center"/>
      </w:pPr>
      <w:r>
        <w:rPr>
          <w:rFonts w:ascii="Arial" w:cs="Arial" w:eastAsia="Arial" w:hAnsi="Arial"/>
          <w:sz w:val="24"/>
          <w:szCs w:val="24"/>
        </w:rPr>
        <w:t xml:space="preserve">"</w:t>
      </w:r>
      <w:hyperlink w:history="1" r:id="rIdgjwkpy8b8lrqf2mqwsny-">
        <w:r>
          <w:rPr>
            <w:rFonts w:ascii="Arial" w:cs="Arial" w:eastAsia="Arial" w:hAnsi="Arial"/>
            <w:color w:val="1D4ED8"/>
            <w:sz w:val="24"/>
            <w:szCs w:val="24"/>
            <w:u w:val="single"/>
          </w:rPr>
          <w:t xml:space="preserve">Приложение 6</w:t>
        </w:r>
      </w:hyperlink>
      <w:r>
        <w:rPr>
          <w:rFonts w:ascii="Arial" w:cs="Arial" w:eastAsia="Arial" w:hAnsi="Arial"/>
          <w:sz w:val="24"/>
          <w:szCs w:val="24"/>
        </w:rPr>
        <w:t xml:space="preserve">
 к Положению "О минимальных требованиях по управлению кредитным риском при осуществлении операций в соответствии с исламскими принципами банковского дела и финансирования"</w:t>
      </w:r>
    </w:p>
    <w:p>
      <w:pPr>
        <w:spacing w:after="200" w:before="200"/>
        <w:jc w:val="center"/>
      </w:pPr>
      <w:r>
        <w:rPr>
          <w:rFonts w:ascii="Arial" w:cs="Arial" w:eastAsia="Arial" w:hAnsi="Arial"/>
          <w:b/>
          <w:bCs/>
          <w:sz w:val="24"/>
          <w:szCs w:val="24"/>
        </w:rPr>
        <w:t xml:space="preserve">ПЕРЕЧЕНЬ</w:t>
      </w:r>
      <w:r>
        <w:rPr>
          <w:rFonts w:ascii="Arial" w:cs="Arial" w:eastAsia="Arial" w:hAnsi="Arial"/>
          <w:b/>
          <w:bCs/>
          <w:sz w:val="24"/>
          <w:szCs w:val="24"/>
        </w:rPr>
        <w:t xml:space="preserve">
 расходов (платежей) клиентов/партнеров банка и штрафных санкций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10178"/>
            <w:gridSpan w:val="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Расходы (платежи) клиента/партнера банка по активу, несущему кредитный риск</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Сумма актива, несущего кредитный риск</w:t>
            </w:r>
          </w:p>
        </w:tc>
        <w:tc>
          <w:tcPr>
            <w:tcW w:type="dxa" w:w="508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Указывается согласно договору</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Наценка/доход по активу, несущему кредитный риск</w:t>
            </w:r>
          </w:p>
        </w:tc>
        <w:tc>
          <w:tcPr>
            <w:vMerge w:val="continue"/>
            <w:tcBorders>
              <w:top w:val="none" w:color="auto" w:sz="0"/>
              <w:left w:val="none" w:color="auto" w:sz="0"/>
              <w:bottom w:val="single" w:color="CBBF9E" w:sz="4"/>
              <w:right w:val="single" w:color="CBBF9E" w:sz="4"/>
            </w:tcBorders>
          </w:tcP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Комиссия за рассмотрение заявки (оформление актива, несущего кредитный риск) в случае отказа от получения актива с момента подписания договора финансирования до момента получения денежных средств либо осуществления платежа по оплате за имущество в рамках лизинга</w:t>
            </w:r>
          </w:p>
        </w:tc>
        <w:tc>
          <w:tcPr>
            <w:tcW w:type="dxa" w:w="508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наличии комиссий их размеры указываются в соответствии с утвержденными тарифами банка в процентном либо стоимостном выражении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Комиссия за открытие (если открытие счета обусловлено заключением договора) и обслуживание (если операции по активу, несущему кредитный риск, проводятся в безналичной форме) расчетного (текущего) счета/счета по банковским вкладам (депозитам) до востребования</w:t>
            </w:r>
          </w:p>
        </w:tc>
        <w:tc>
          <w:tcPr>
            <w:vMerge w:val="continue"/>
            <w:tcBorders>
              <w:top w:val="none" w:color="auto" w:sz="0"/>
              <w:left w:val="none" w:color="auto" w:sz="0"/>
              <w:bottom w:val="single" w:color="CBBF9E" w:sz="4"/>
              <w:right w:val="single" w:color="CBBF9E" w:sz="4"/>
            </w:tcBorders>
          </w:tcP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Комиссия за расчетно-кассовое обслуживание (в том числе внесение и получение клиентом/партнером наличных денег через банкомат)</w:t>
            </w:r>
          </w:p>
        </w:tc>
        <w:tc>
          <w:tcPr>
            <w:vMerge w:val="continue"/>
            <w:tcBorders>
              <w:top w:val="none" w:color="auto" w:sz="0"/>
              <w:left w:val="none" w:color="auto" w:sz="0"/>
              <w:bottom w:val="single" w:color="CBBF9E" w:sz="4"/>
              <w:right w:val="single" w:color="CBBF9E" w:sz="4"/>
            </w:tcBorders>
          </w:tcP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Комиссия за изменение условий договора по заявлению клиента/партнера (за исключением случаев реструктуризации активов в соответствии с требованиями нормативных правовых актов Национального банка)</w:t>
            </w:r>
          </w:p>
        </w:tc>
        <w:tc>
          <w:tcPr>
            <w:vMerge w:val="continue"/>
            <w:tcBorders>
              <w:top w:val="none" w:color="auto" w:sz="0"/>
              <w:left w:val="none" w:color="auto" w:sz="0"/>
              <w:bottom w:val="single" w:color="CBBF9E" w:sz="4"/>
              <w:right w:val="single" w:color="CBBF9E" w:sz="4"/>
            </w:tcBorders>
          </w:tcP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Комиссия за резервирование денежных средств (за неиспользуемую часть линии финансирования), если договором предусмотрено безусловное обязательство банка по предоставлению денежных средств</w:t>
            </w:r>
          </w:p>
        </w:tc>
        <w:tc>
          <w:tcPr>
            <w:vMerge w:val="continue"/>
            <w:tcBorders>
              <w:top w:val="none" w:color="auto" w:sz="0"/>
              <w:left w:val="none" w:color="auto" w:sz="0"/>
              <w:bottom w:val="single" w:color="CBBF9E" w:sz="4"/>
              <w:right w:val="single" w:color="CBBF9E" w:sz="4"/>
            </w:tcBorders>
          </w:tcP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Платежи в пользу третьих лиц (плата за услуги страхования, нотариуса, Государственной регистрационной службы при Правительстве Кыргызской Республики, Государственного агентства по земельным ресурсам при Правительстве Кыргызской Республики и др.)</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Указывается примерная стоимость (диапазон) таких расходов с указанием того, что данные расходы могут измениться в будущем</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Штрафные санкции и пени банка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 просрочку оплаты платежей по основной сумме актива, несущего кредитный риск, и по наценке/доходам банка</w:t>
            </w:r>
          </w:p>
        </w:tc>
        <w:tc>
          <w:tcPr>
            <w:tcW w:type="dxa" w:w="508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Указываются в соответствии с утвержденными размерами штрафных санкций, взимаемых в банке на основании договора, в процентном либо стоимостном выражении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 просрочку более 30 календарных дней пополнения депозита, предоставленного в залог по активу, несущему кредитный риск</w:t>
            </w:r>
          </w:p>
        </w:tc>
        <w:tc>
          <w:tcPr>
            <w:vMerge w:val="continue"/>
            <w:tcBorders>
              <w:top w:val="none" w:color="auto" w:sz="0"/>
              <w:left w:val="none" w:color="auto" w:sz="0"/>
              <w:bottom w:val="single" w:color="CBBF9E" w:sz="4"/>
              <w:right w:val="single" w:color="CBBF9E" w:sz="4"/>
            </w:tcBorders>
          </w:tcP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 несвоевременный возврат пакета оригиналов документов по залоговому обеспечению (за исключением случаев несвоевременного возврата в связи с форс-мажорными обстоятельствами и другими объективными причинами, которые должны быть рассмотрены банком)</w:t>
            </w:r>
          </w:p>
        </w:tc>
        <w:tc>
          <w:tcPr>
            <w:vMerge w:val="continue"/>
            <w:tcBorders>
              <w:top w:val="none" w:color="auto" w:sz="0"/>
              <w:left w:val="none" w:color="auto" w:sz="0"/>
              <w:bottom w:val="single" w:color="CBBF9E" w:sz="4"/>
              <w:right w:val="single" w:color="CBBF9E" w:sz="4"/>
            </w:tcBorders>
          </w:tcP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Условия расторжения договора после получения актива, несущего в себе кредитный риск</w:t>
            </w:r>
          </w:p>
        </w:tc>
        <w:tc>
          <w:tcPr>
            <w:vMerge w:val="continue"/>
            <w:tcBorders>
              <w:top w:val="none" w:color="auto" w:sz="0"/>
              <w:left w:val="none" w:color="auto" w:sz="0"/>
              <w:bottom w:val="single" w:color="CBBF9E" w:sz="4"/>
              <w:right w:val="single" w:color="CBBF9E" w:sz="4"/>
            </w:tcBorders>
          </w:tcP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Другие расходы</w:t>
            </w:r>
          </w:p>
        </w:tc>
        <w:tc>
          <w:tcPr>
            <w:vMerge w:val="continue"/>
            <w:tcBorders>
              <w:top w:val="none" w:color="auto" w:sz="0"/>
              <w:left w:val="none" w:color="auto" w:sz="0"/>
              <w:bottom w:val="single" w:color="CBBF9E" w:sz="4"/>
              <w:right w:val="single" w:color="CBBF9E" w:sz="4"/>
            </w:tcBorders>
          </w:tcPr>
          <w:p/>
        </w:tc>
      </w:tr>
    </w:tbl>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q7mxtmcdksopyomgs7v3">
      <w:r>
        <w:rPr>
          <w:rFonts w:ascii="Arial" w:cs="Arial" w:eastAsia="Arial" w:hAnsi="Arial"/>
          <w:color w:val="132D3F"/>
          <w:sz w:val="16"/>
          <w:szCs w:val="16"/>
          <w:u w:val="single"/>
        </w:rPr>
        <w:t xml:space="preserve">dalil.kg/document/800768</w:t>
      </w:r>
    </w:hyperlink>
  </w:p>
  <w:p>
    <w:pPr>
      <w:spacing w:after="0" w:before="40"/>
      <w:jc w:val="center"/>
    </w:pPr>
    <w:hyperlink w:history="1" r:id="rIdffl-ntcnwk3uxm6p51s7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ysfrf-gylexcqasrhqzi" Type="http://schemas.openxmlformats.org/officeDocument/2006/relationships/hyperlink" Target="https://dalil.kg/document/111486#st_20" TargetMode="External"/><Relationship Id="rId-eo4lfvwhuwrwrwzyzz8c" Type="http://schemas.openxmlformats.org/officeDocument/2006/relationships/hyperlink" Target="https://dalil.kg/document/111486#st_68" TargetMode="External"/><Relationship Id="rIdo2unjqsmmyfyxozrlkzm0" Type="http://schemas.openxmlformats.org/officeDocument/2006/relationships/hyperlink" Target="https://dalil.kg/document/800768" TargetMode="External"/><Relationship Id="rIdr5oxojzxxdk2-rnv-qoul" Type="http://schemas.openxmlformats.org/officeDocument/2006/relationships/hyperlink" Target="https://dalil.kg/document/301269" TargetMode="External"/><Relationship Id="rIdf3a08yseamqxl1rt9k7pp" Type="http://schemas.openxmlformats.org/officeDocument/2006/relationships/hyperlink" Target="https://dalil.kg/document/302788" TargetMode="External"/><Relationship Id="rIdu1jitb1uynb_0v-_wgax5" Type="http://schemas.openxmlformats.org/officeDocument/2006/relationships/hyperlink" Target="https://dalil.kg/document/302787" TargetMode="External"/><Relationship Id="rId0fslij4swcdj6ju7fpyny" Type="http://schemas.openxmlformats.org/officeDocument/2006/relationships/hyperlink" Target="https://dalil.kg/document/301269" TargetMode="External"/><Relationship Id="rIdf8lm7vx_nt5sw2wd9wwy1" Type="http://schemas.openxmlformats.org/officeDocument/2006/relationships/hyperlink" Target="https://dalil.kg/document/302787" TargetMode="External"/><Relationship Id="rId8tnkcj793nibnp6au8zg9" Type="http://schemas.openxmlformats.org/officeDocument/2006/relationships/hyperlink" Target="https://dalil.kg/document/301269" TargetMode="External"/><Relationship Id="rIdvcarwonkynhiokk3l1xmo" Type="http://schemas.openxmlformats.org/officeDocument/2006/relationships/hyperlink" Target="https://dalil.kg/document/302787" TargetMode="External"/><Relationship Id="rIdaqeyxkk5ib6rghmytlycs" Type="http://schemas.openxmlformats.org/officeDocument/2006/relationships/hyperlink" Target="https://dalil.kg/document/302788" TargetMode="External"/><Relationship Id="rIdvjvyi71rxajb4nw6wadh2" Type="http://schemas.openxmlformats.org/officeDocument/2006/relationships/hyperlink" Target="https://dalil.kg/document/302787" TargetMode="External"/><Relationship Id="rIdl-7zkybzykkygg9w5ff2v" Type="http://schemas.openxmlformats.org/officeDocument/2006/relationships/hyperlink" Target="https://dalil.kg/document/302787" TargetMode="External"/><Relationship Id="rIdyfc6hjydxc741cltugoi1" Type="http://schemas.openxmlformats.org/officeDocument/2006/relationships/hyperlink" Target="https://dalil.kg/document/302788" TargetMode="External"/><Relationship Id="rIdxqixfqxsjfhgetahailqq" Type="http://schemas.openxmlformats.org/officeDocument/2006/relationships/hyperlink" Target="https://dalil.kg/document/302787" TargetMode="External"/><Relationship Id="rIdqppckowg7jb-8m5llhs2d" Type="http://schemas.openxmlformats.org/officeDocument/2006/relationships/hyperlink" Target="https://dalil.kg/document/677" TargetMode="External"/><Relationship Id="rIdsf3cvuvwi94cm3riznr-u" Type="http://schemas.openxmlformats.org/officeDocument/2006/relationships/hyperlink" Target="https://dalil.kg/document/302787#g2" TargetMode="External"/><Relationship Id="rIdtk-lllmqgss-v-oq1v72c" Type="http://schemas.openxmlformats.org/officeDocument/2006/relationships/hyperlink" Target="https://dalil.kg/document/302787#g2" TargetMode="External"/><Relationship Id="rIdohivlnl4u1nm0grv1nd8f" Type="http://schemas.openxmlformats.org/officeDocument/2006/relationships/hyperlink" Target="https://dalil.kg/document/302787" TargetMode="External"/><Relationship Id="rIdxi9drkxjpduvwijlhq8_p" Type="http://schemas.openxmlformats.org/officeDocument/2006/relationships/hyperlink" Target="https://dalil.kg/document/302787" TargetMode="External"/><Relationship Id="rIdbswfdowiqr8m3objx98ks" Type="http://schemas.openxmlformats.org/officeDocument/2006/relationships/hyperlink" Target="https://dalil.kg/document/302787" TargetMode="External"/><Relationship Id="rIdzxkis90x7amzo6qlu5odt" Type="http://schemas.openxmlformats.org/officeDocument/2006/relationships/hyperlink" Target="https://dalil.kg/document/302787" TargetMode="External"/><Relationship Id="rIdfqhrfufxba10yd1t-kok0" Type="http://schemas.openxmlformats.org/officeDocument/2006/relationships/hyperlink" Target="https://dalil.kg/document/302787#pr1" TargetMode="External"/><Relationship Id="rIdd3qqnei8caqmrpjtnkovw" Type="http://schemas.openxmlformats.org/officeDocument/2006/relationships/hyperlink" Target="https://dalil.kg/document/302787#pr2" TargetMode="External"/><Relationship Id="rId3dryfbao-k2y7dq_k4l9e" Type="http://schemas.openxmlformats.org/officeDocument/2006/relationships/hyperlink" Target="https://dalil.kg/document/302787#pr5" TargetMode="External"/><Relationship Id="rIdh6vwzxvtoqt_gsvzsrbnb" Type="http://schemas.openxmlformats.org/officeDocument/2006/relationships/hyperlink" Target="https://dalil.kg/document/302787#pr6" TargetMode="External"/><Relationship Id="rIdgjwkpy8b8lrqf2mqwsny-" Type="http://schemas.openxmlformats.org/officeDocument/2006/relationships/hyperlink" Target="https://dalil.kg/document/302787#pr6" TargetMode="External"/><Relationship Id="rId8" Type="http://schemas.openxmlformats.org/officeDocument/2006/relationships/image" Target="media/8de64316e95979c063c17bcd5380dc052a2594e9.png"/><Relationship Id="rId3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q7mxtmcdksopyomgs7v3" Type="http://schemas.openxmlformats.org/officeDocument/2006/relationships/hyperlink" Target="https://dalil.kg/document/800768" TargetMode="External"/><Relationship Id="rIdffl-ntcnwk3uxm6p51s7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2026-09-24T13:44:20.395Z</dcterms:created>
  <dcterms:modified xsi:type="dcterms:W3CDTF">2026-09-24T13:44:20.395Z</dcterms:modified>
</cp:coreProperties>
</file>

<file path=docProps/custom.xml><?xml version="1.0" encoding="utf-8"?>
<Properties xmlns="http://schemas.openxmlformats.org/officeDocument/2006/custom-properties" xmlns:vt="http://schemas.openxmlformats.org/officeDocument/2006/docPropsVTypes"/>
</file>