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40"/>
        <w:jc w:val="both"/>
      </w:pPr>
      <w:r>
        <w:rPr>
          <w:rFonts w:ascii="Arial" w:cs="Arial" w:eastAsia="Arial" w:hAnsi="Arial"/>
          <w:sz w:val="24"/>
          <w:szCs w:val="24"/>
        </w:rPr>
        <w:t xml:space="preserve">от 1</w:t>
      </w:r>
      <w:r>
        <w:rPr>
          <w:rFonts w:ascii="Arial" w:cs="Arial" w:eastAsia="Arial" w:hAnsi="Arial"/>
          <w:sz w:val="24"/>
          <w:szCs w:val="24"/>
        </w:rPr>
        <w:t xml:space="preserve">5 сентября</w:t>
      </w:r>
      <w:r>
        <w:rPr>
          <w:rFonts w:ascii="Arial" w:cs="Arial" w:eastAsia="Arial" w:hAnsi="Arial"/>
          <w:sz w:val="24"/>
          <w:szCs w:val="24"/>
        </w:rPr>
        <w:t xml:space="preserve"> 20</w:t>
      </w:r>
      <w:r>
        <w:rPr>
          <w:rFonts w:ascii="Arial" w:cs="Arial" w:eastAsia="Arial" w:hAnsi="Arial"/>
          <w:sz w:val="24"/>
          <w:szCs w:val="24"/>
        </w:rPr>
        <w:t xml:space="preserve">21</w:t>
      </w:r>
      <w:r>
        <w:rPr>
          <w:rFonts w:ascii="Arial" w:cs="Arial" w:eastAsia="Arial" w:hAnsi="Arial"/>
          <w:sz w:val="24"/>
          <w:szCs w:val="24"/>
        </w:rPr>
        <w:t xml:space="preserve"> года № 2021-П-12/</w:t>
      </w:r>
      <w:r>
        <w:rPr>
          <w:rFonts w:ascii="Arial" w:cs="Arial" w:eastAsia="Arial" w:hAnsi="Arial"/>
          <w:sz w:val="24"/>
          <w:szCs w:val="24"/>
        </w:rPr>
        <w:t xml:space="preserve">51</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-(НПА)</w:t>
      </w:r>
    </w:p>
    <w:p>
      <w:pPr>
        <w:spacing w:after="400" w:before="400"/>
        <w:jc w:val="center"/>
      </w:pPr>
      <w:r>
        <w:rPr>
          <w:rFonts w:ascii="Arial" w:cs="Arial" w:eastAsia="Arial" w:hAnsi="Arial"/>
          <w:b/>
          <w:bCs/>
          <w:sz w:val="32"/>
          <w:szCs w:val="32"/>
        </w:rPr>
        <w:t xml:space="preserve">О внесении изменений в некоторые нормативные правовые акты Национального банка Кыргызской Республики по вопросам управления рисками и капитала банков</w:t>
      </w:r>
    </w:p>
    <w:p>
      <w:pPr>
        <w:spacing w:after="60"/>
        <w:ind w:firstLine="567"/>
        <w:jc w:val="both"/>
      </w:pPr>
      <w:r>
        <w:rPr>
          <w:rFonts w:ascii="Arial" w:cs="Arial" w:eastAsia="Arial" w:hAnsi="Arial"/>
          <w:sz w:val="24"/>
          <w:szCs w:val="24"/>
        </w:rPr>
        <w:t xml:space="preserve">В соответствии со статьями </w:t>
      </w:r>
      <w:hyperlink w:history="1" r:id="rIdyz7ln5cklnoud9-xfvtaf">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bvgtdstmq1her76agujvm">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"Об утверждении </w:t>
      </w:r>
      <w:hyperlink w:history="1" r:id="rIdy4bgjtp2bwuwzngka8_w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w:t>
      </w:r>
      <w:hyperlink w:history="1" r:id="rIdi6esjwd_g71wm99joxm9k">
        <w:r>
          <w:rPr>
            <w:rFonts w:ascii="Arial" w:cs="Arial" w:eastAsia="Arial" w:hAnsi="Arial"/>
            <w:color w:val="1D4ED8"/>
            <w:sz w:val="24"/>
            <w:szCs w:val="24"/>
            <w:u w:val="single"/>
          </w:rPr>
          <w:t xml:space="preserve">21 июля 2004 года № 18/1;</w:t>
        </w:r>
      </w:hyperlink>
    </w:p>
    <w:p>
      <w:pPr>
        <w:spacing w:after="60"/>
        <w:ind w:firstLine="567"/>
        <w:jc w:val="both"/>
      </w:pPr>
      <w:r>
        <w:rPr>
          <w:rFonts w:ascii="Arial" w:cs="Arial" w:eastAsia="Arial" w:hAnsi="Arial"/>
          <w:sz w:val="24"/>
          <w:szCs w:val="24"/>
        </w:rPr>
        <w:t xml:space="preserve">- "Об утверждении </w:t>
      </w:r>
      <w:hyperlink w:history="1" r:id="rId3gfcqzxp2rpkbpaomjvz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w:t>
      </w:r>
      <w:hyperlink w:history="1" r:id="rIdcbkbrbw5l2iv80qden6ip">
        <w:r>
          <w:rPr>
            <w:rFonts w:ascii="Arial" w:cs="Arial" w:eastAsia="Arial" w:hAnsi="Arial"/>
            <w:color w:val="1D4ED8"/>
            <w:sz w:val="24"/>
            <w:szCs w:val="24"/>
            <w:u w:val="single"/>
          </w:rPr>
          <w:t xml:space="preserve">21 июля 2004 года № 18/2;</w:t>
        </w:r>
      </w:hyperlink>
    </w:p>
    <w:p>
      <w:pPr>
        <w:spacing w:after="60"/>
        <w:ind w:firstLine="567"/>
        <w:jc w:val="both"/>
      </w:pPr>
      <w:r>
        <w:rPr>
          <w:rFonts w:ascii="Arial" w:cs="Arial" w:eastAsia="Arial" w:hAnsi="Arial"/>
          <w:sz w:val="24"/>
          <w:szCs w:val="24"/>
        </w:rPr>
        <w:t xml:space="preserve">- "Об утверждении </w:t>
      </w:r>
      <w:hyperlink w:history="1" r:id="rIdxbncwrcfzlo_kc1k88_d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w:t>
      </w:r>
      <w:hyperlink w:history="1" r:id="rIdeszs8mxxfdlanoh5gifug">
        <w:r>
          <w:rPr>
            <w:rFonts w:ascii="Arial" w:cs="Arial" w:eastAsia="Arial" w:hAnsi="Arial"/>
            <w:color w:val="1D4ED8"/>
            <w:sz w:val="24"/>
            <w:szCs w:val="24"/>
            <w:u w:val="single"/>
          </w:rPr>
          <w:t xml:space="preserve">21 июля 2004 года № 18/3;</w:t>
        </w:r>
      </w:hyperlink>
    </w:p>
    <w:p>
      <w:pPr>
        <w:spacing w:after="6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ljif2wa2l-0oaqmrdgbi7">
        <w:r>
          <w:rPr>
            <w:rFonts w:ascii="Arial" w:cs="Arial" w:eastAsia="Arial" w:hAnsi="Arial"/>
            <w:color w:val="1D4ED8"/>
            <w:sz w:val="24"/>
            <w:szCs w:val="24"/>
            <w:u w:val="single"/>
          </w:rPr>
          <w:t xml:space="preserve">25 августа 2005 года № 26/5;</w:t>
        </w:r>
      </w:hyperlink>
    </w:p>
    <w:p>
      <w:pPr>
        <w:spacing w:after="60"/>
        <w:ind w:firstLine="567"/>
        <w:jc w:val="both"/>
      </w:pPr>
      <w:r>
        <w:rPr>
          <w:rFonts w:ascii="Arial" w:cs="Arial" w:eastAsia="Arial" w:hAnsi="Arial"/>
          <w:sz w:val="24"/>
          <w:szCs w:val="24"/>
        </w:rPr>
        <w:t xml:space="preserve">- "Об утверждении "</w:t>
      </w:r>
      <w:hyperlink w:history="1" r:id="rId51z-p1y3tej9bwzaitw0w">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создания и/или приобретения дочерних или зависимых компаний коммерческими банками Кыргызской Республики" от </w:t>
      </w:r>
      <w:hyperlink w:history="1" r:id="rIdjsqx3rpwtyczz0_lrco6r">
        <w:r>
          <w:rPr>
            <w:rFonts w:ascii="Arial" w:cs="Arial" w:eastAsia="Arial" w:hAnsi="Arial"/>
            <w:color w:val="1D4ED8"/>
            <w:sz w:val="24"/>
            <w:szCs w:val="24"/>
            <w:u w:val="single"/>
          </w:rPr>
          <w:t xml:space="preserve">10 июня 2009 года № 26/3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0fyey-vkx2u1ofsyydgwm">
        <w:r>
          <w:rPr>
            <w:rFonts w:ascii="Arial" w:cs="Arial" w:eastAsia="Arial" w:hAnsi="Arial"/>
            <w:color w:val="1D4ED8"/>
            <w:sz w:val="24"/>
            <w:szCs w:val="24"/>
            <w:u w:val="single"/>
          </w:rPr>
          <w:t xml:space="preserve">30 июня 2010 года № 52/4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g-alb0ds0qhbkuilbxmd2">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w:t>
      </w:r>
      <w:hyperlink w:history="1" r:id="rIdo7c2wxjnjhypdprvjuhhk">
        <w:r>
          <w:rPr>
            <w:rFonts w:ascii="Arial" w:cs="Arial" w:eastAsia="Arial" w:hAnsi="Arial"/>
            <w:color w:val="1D4ED8"/>
            <w:sz w:val="24"/>
            <w:szCs w:val="24"/>
            <w:u w:val="single"/>
          </w:rPr>
          <w:t xml:space="preserve">4 июля 2012 года № 28/7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excj7ousmn278qrn0ads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 </w:t>
      </w:r>
      <w:hyperlink w:history="1" r:id="rIdwegup-e2q9iwytigtpmta">
        <w:r>
          <w:rPr>
            <w:rFonts w:ascii="Arial" w:cs="Arial" w:eastAsia="Arial" w:hAnsi="Arial"/>
            <w:color w:val="1D4ED8"/>
            <w:sz w:val="24"/>
            <w:szCs w:val="24"/>
            <w:u w:val="single"/>
          </w:rPr>
          <w:t xml:space="preserve">31 октября 2012 года № 41/12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qjahagyuhjbt_wjylloh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корпоративном управлении в коммерческих банках Кыргызской Республики" от </w:t>
      </w:r>
      <w:hyperlink w:history="1" r:id="rIdrgjpxtrkjc_fi-bnbsv6z">
        <w:r>
          <w:rPr>
            <w:rFonts w:ascii="Arial" w:cs="Arial" w:eastAsia="Arial" w:hAnsi="Arial"/>
            <w:color w:val="1D4ED8"/>
            <w:sz w:val="24"/>
            <w:szCs w:val="24"/>
            <w:u w:val="single"/>
          </w:rPr>
          <w:t xml:space="preserve">17 мая 2017 года № 19/12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502dtflyf0fdtg6yy05q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от </w:t>
      </w:r>
      <w:hyperlink w:history="1" r:id="rIdawguo6rcgk2b6yftm8eii">
        <w:r>
          <w:rPr>
            <w:rFonts w:ascii="Arial" w:cs="Arial" w:eastAsia="Arial" w:hAnsi="Arial"/>
            <w:color w:val="1D4ED8"/>
            <w:sz w:val="24"/>
            <w:szCs w:val="24"/>
            <w:u w:val="single"/>
          </w:rPr>
          <w:t xml:space="preserve">15 июня 2017 года № 2017-П-12/25-8-(НПА);</w:t>
        </w:r>
      </w:hyperlink>
    </w:p>
    <w:p>
      <w:pPr>
        <w:spacing w:after="60"/>
        <w:ind w:firstLine="567"/>
        <w:jc w:val="both"/>
      </w:pPr>
      <w:r>
        <w:rPr>
          <w:rFonts w:ascii="Arial" w:cs="Arial" w:eastAsia="Arial" w:hAnsi="Arial"/>
          <w:sz w:val="24"/>
          <w:szCs w:val="24"/>
        </w:rPr>
        <w:t xml:space="preserve">- "Об утверждении </w:t>
      </w:r>
      <w:hyperlink w:history="1" r:id="rIdv1rhn_lekoxsajffqwzs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размещения коммерческими банками денежных средств в иностранной валюте на депозитных счетах, открытых в Национальном банке Кыргызской Республики" от </w:t>
      </w:r>
      <w:hyperlink w:history="1" r:id="rIdxjudlmnzp9e40tq10y20i">
        <w:r>
          <w:rPr>
            <w:rFonts w:ascii="Arial" w:cs="Arial" w:eastAsia="Arial" w:hAnsi="Arial"/>
            <w:color w:val="1D4ED8"/>
            <w:sz w:val="24"/>
            <w:szCs w:val="24"/>
            <w:u w:val="single"/>
          </w:rPr>
          <w:t xml:space="preserve">28 февраля 2018 года № 2018-П-12/7-7-(НПА);</w:t>
        </w:r>
      </w:hyperlink>
    </w:p>
    <w:p>
      <w:pPr>
        <w:spacing w:after="60"/>
        <w:ind w:firstLine="567"/>
        <w:jc w:val="both"/>
      </w:pPr>
      <w:r>
        <w:rPr>
          <w:rFonts w:ascii="Arial" w:cs="Arial" w:eastAsia="Arial" w:hAnsi="Arial"/>
          <w:sz w:val="24"/>
          <w:szCs w:val="24"/>
        </w:rPr>
        <w:t xml:space="preserve">- "Об утверждении </w:t>
      </w:r>
      <w:hyperlink w:history="1" r:id="rIdpz91fnupffmuamgc-pjh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w:t>
      </w:r>
      <w:hyperlink w:history="1" r:id="rIdtkgqyx1i5x39rmk4qbal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 от </w:t>
      </w:r>
      <w:hyperlink w:history="1" r:id="rIdzylne_npdxdvzo4xbkrxe">
        <w:r>
          <w:rPr>
            <w:rFonts w:ascii="Arial" w:cs="Arial" w:eastAsia="Arial" w:hAnsi="Arial"/>
            <w:color w:val="1D4ED8"/>
            <w:sz w:val="24"/>
            <w:szCs w:val="24"/>
            <w:u w:val="single"/>
          </w:rPr>
          <w:t xml:space="preserve">14 августа 2019 года № 2019-П-12/42-1-(НПА)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1 месяца со дня официального опубликования.</w:t>
      </w:r>
    </w:p>
    <w:p>
      <w:pPr>
        <w:spacing w:after="60"/>
        <w:ind w:firstLine="567"/>
        <w:jc w:val="both"/>
      </w:pPr>
      <w:r>
        <w:rPr>
          <w:rFonts w:ascii="Arial" w:cs="Arial" w:eastAsia="Arial" w:hAnsi="Arial"/>
          <w:sz w:val="24"/>
          <w:szCs w:val="24"/>
        </w:rPr>
        <w:t xml:space="preserve">3. Установить срок исполнения коммерческими банками требований по расчету коэффициента адекватности суммарного капитала (К2.1) с учетом капитала, необходимого для покрытия операционных рисков, предусмотренного в пункте 2.2 </w:t>
      </w:r>
      <w:hyperlink w:history="1" r:id="rIdel0vfv8xdohkxv9ezr5l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с 1 июля 2022 года.</w:t>
      </w:r>
    </w:p>
    <w:p>
      <w:pPr>
        <w:spacing w:after="60"/>
        <w:ind w:firstLine="567"/>
        <w:jc w:val="both"/>
      </w:pPr>
      <w:r>
        <w:rPr>
          <w:rFonts w:ascii="Arial" w:cs="Arial" w:eastAsia="Arial" w:hAnsi="Arial"/>
          <w:sz w:val="24"/>
          <w:szCs w:val="24"/>
        </w:rPr>
        <w:t xml:space="preserve">4. Установить срок исполнения коммерческими банками требований по расчету коэффициента левеража (К2.4), предусмотренного в пункте 2.3 </w:t>
      </w:r>
      <w:hyperlink w:history="1" r:id="rIdnn3nidaqtyljvfo4yttd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с 1 января 2023 года.</w:t>
      </w:r>
    </w:p>
    <w:p>
      <w:pPr>
        <w:spacing w:after="60"/>
        <w:ind w:firstLine="567"/>
        <w:jc w:val="both"/>
      </w:pPr>
      <w:r>
        <w:rPr>
          <w:rFonts w:ascii="Arial" w:cs="Arial" w:eastAsia="Arial" w:hAnsi="Arial"/>
          <w:sz w:val="24"/>
          <w:szCs w:val="24"/>
        </w:rPr>
        <w:t xml:space="preserve">5. Установить для коммерческих банков соблюдение значений:</w:t>
      </w:r>
    </w:p>
    <w:p>
      <w:pPr>
        <w:spacing w:after="60"/>
        <w:ind w:firstLine="567"/>
        <w:jc w:val="both"/>
      </w:pPr>
      <w:r>
        <w:rPr>
          <w:rFonts w:ascii="Arial" w:cs="Arial" w:eastAsia="Arial" w:hAnsi="Arial"/>
          <w:sz w:val="24"/>
          <w:szCs w:val="24"/>
        </w:rPr>
        <w:t xml:space="preserve">1) коэффициента достаточности (адекватности) капитала Первого уровня (К2.2), предусмотренного в пункте 3.2 </w:t>
      </w:r>
      <w:hyperlink w:history="1" r:id="rIdrkesn9y1vc2bbfizbcgd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60"/>
        <w:ind w:firstLine="567"/>
        <w:jc w:val="both"/>
      </w:pPr>
      <w:r>
        <w:rPr>
          <w:rFonts w:ascii="Arial" w:cs="Arial" w:eastAsia="Arial" w:hAnsi="Arial"/>
          <w:sz w:val="24"/>
          <w:szCs w:val="24"/>
        </w:rPr>
        <w:t xml:space="preserve">- с 1 января 2023 года - не менее 6,5%;</w:t>
      </w:r>
    </w:p>
    <w:p>
      <w:pPr>
        <w:spacing w:after="60"/>
        <w:ind w:firstLine="567"/>
        <w:jc w:val="both"/>
      </w:pPr>
      <w:r>
        <w:rPr>
          <w:rFonts w:ascii="Arial" w:cs="Arial" w:eastAsia="Arial" w:hAnsi="Arial"/>
          <w:sz w:val="24"/>
          <w:szCs w:val="24"/>
        </w:rPr>
        <w:t xml:space="preserve">- с 1 января 2024 года - не менее 7,5%;</w:t>
      </w:r>
    </w:p>
    <w:p>
      <w:pPr>
        <w:spacing w:after="60"/>
        <w:ind w:firstLine="567"/>
        <w:jc w:val="both"/>
      </w:pPr>
      <w:r>
        <w:rPr>
          <w:rFonts w:ascii="Arial" w:cs="Arial" w:eastAsia="Arial" w:hAnsi="Arial"/>
          <w:sz w:val="24"/>
          <w:szCs w:val="24"/>
        </w:rPr>
        <w:t xml:space="preserve">2) коэффициента достаточности (адекватности) Базового капитала Первого уровня (К2.3), предусмотренного в пункте 3.2 </w:t>
      </w:r>
      <w:hyperlink w:history="1" r:id="rIdczl1wj_60isadymksc1w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60"/>
        <w:ind w:firstLine="567"/>
        <w:jc w:val="both"/>
      </w:pPr>
      <w:r>
        <w:rPr>
          <w:rFonts w:ascii="Arial" w:cs="Arial" w:eastAsia="Arial" w:hAnsi="Arial"/>
          <w:sz w:val="24"/>
          <w:szCs w:val="24"/>
        </w:rPr>
        <w:t xml:space="preserve">- с 1 января 2023 года - не менее 5%;</w:t>
      </w:r>
    </w:p>
    <w:p>
      <w:pPr>
        <w:spacing w:after="60"/>
        <w:ind w:firstLine="567"/>
        <w:jc w:val="both"/>
      </w:pPr>
      <w:r>
        <w:rPr>
          <w:rFonts w:ascii="Arial" w:cs="Arial" w:eastAsia="Arial" w:hAnsi="Arial"/>
          <w:sz w:val="24"/>
          <w:szCs w:val="24"/>
        </w:rPr>
        <w:t xml:space="preserve">- с 1 января 2024 года - не менее 6%.</w:t>
      </w:r>
    </w:p>
    <w:p>
      <w:pPr>
        <w:spacing w:after="60"/>
        <w:ind w:firstLine="567"/>
        <w:jc w:val="both"/>
      </w:pPr>
      <w:r>
        <w:rPr>
          <w:rFonts w:ascii="Arial" w:cs="Arial" w:eastAsia="Arial" w:hAnsi="Arial"/>
          <w:sz w:val="24"/>
          <w:szCs w:val="24"/>
        </w:rPr>
        <w:t xml:space="preserve">6. Установить для системно значимых коммерческих банков соблюдение значений:</w:t>
      </w:r>
    </w:p>
    <w:p>
      <w:pPr>
        <w:spacing w:after="60"/>
        <w:ind w:firstLine="567"/>
        <w:jc w:val="both"/>
      </w:pPr>
      <w:r>
        <w:rPr>
          <w:rFonts w:ascii="Arial" w:cs="Arial" w:eastAsia="Arial" w:hAnsi="Arial"/>
          <w:sz w:val="24"/>
          <w:szCs w:val="24"/>
        </w:rPr>
        <w:t xml:space="preserve">1) коэффициента достаточности (адекватности) суммарного капитала (К2.1), предусмотренного в пункте 3.2-1 </w:t>
      </w:r>
      <w:hyperlink w:history="1" r:id="rIdyhef40kwxc1gfqwrtto5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60"/>
        <w:ind w:firstLine="567"/>
        <w:jc w:val="both"/>
      </w:pPr>
      <w:r>
        <w:rPr>
          <w:rFonts w:ascii="Arial" w:cs="Arial" w:eastAsia="Arial" w:hAnsi="Arial"/>
          <w:sz w:val="24"/>
          <w:szCs w:val="24"/>
        </w:rPr>
        <w:t xml:space="preserve">- с 1 января 2023 года - не менее 12,5%;</w:t>
      </w:r>
    </w:p>
    <w:p>
      <w:pPr>
        <w:spacing w:after="60"/>
        <w:ind w:firstLine="567"/>
        <w:jc w:val="both"/>
      </w:pPr>
      <w:r>
        <w:rPr>
          <w:rFonts w:ascii="Arial" w:cs="Arial" w:eastAsia="Arial" w:hAnsi="Arial"/>
          <w:sz w:val="24"/>
          <w:szCs w:val="24"/>
        </w:rPr>
        <w:t xml:space="preserve">- с 1 января 2024 года - не менее 14%;</w:t>
      </w:r>
    </w:p>
    <w:p>
      <w:pPr>
        <w:spacing w:after="60"/>
        <w:ind w:firstLine="567"/>
        <w:jc w:val="both"/>
      </w:pPr>
      <w:r>
        <w:rPr>
          <w:rFonts w:ascii="Arial" w:cs="Arial" w:eastAsia="Arial" w:hAnsi="Arial"/>
          <w:sz w:val="24"/>
          <w:szCs w:val="24"/>
        </w:rPr>
        <w:t xml:space="preserve">2) коэффициента достаточности (адекватности) капитала Первого уровня (К2.2), предусмотренного в пункте 3.2-1 </w:t>
      </w:r>
      <w:hyperlink w:history="1" r:id="rId8p_jyfd7auqb7-8dongj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60"/>
        <w:ind w:firstLine="567"/>
        <w:jc w:val="both"/>
      </w:pPr>
      <w:r>
        <w:rPr>
          <w:rFonts w:ascii="Arial" w:cs="Arial" w:eastAsia="Arial" w:hAnsi="Arial"/>
          <w:sz w:val="24"/>
          <w:szCs w:val="24"/>
        </w:rPr>
        <w:t xml:space="preserve">- с 1 января 2023 года - не менее 7,5%;</w:t>
      </w:r>
    </w:p>
    <w:p>
      <w:pPr>
        <w:spacing w:after="60"/>
        <w:ind w:firstLine="567"/>
        <w:jc w:val="both"/>
      </w:pPr>
      <w:r>
        <w:rPr>
          <w:rFonts w:ascii="Arial" w:cs="Arial" w:eastAsia="Arial" w:hAnsi="Arial"/>
          <w:sz w:val="24"/>
          <w:szCs w:val="24"/>
        </w:rPr>
        <w:t xml:space="preserve">- с 1 января 2024 года - не менее 9,5%;</w:t>
      </w:r>
    </w:p>
    <w:p>
      <w:pPr>
        <w:spacing w:after="60"/>
        <w:ind w:firstLine="567"/>
        <w:jc w:val="both"/>
      </w:pPr>
      <w:r>
        <w:rPr>
          <w:rFonts w:ascii="Arial" w:cs="Arial" w:eastAsia="Arial" w:hAnsi="Arial"/>
          <w:sz w:val="24"/>
          <w:szCs w:val="24"/>
        </w:rPr>
        <w:t xml:space="preserve">3) коэффициента достаточности (адекватности) Базового капитала Первого уровня (К2.3), предусмотренного в пункте 3.2-1 </w:t>
      </w:r>
      <w:hyperlink w:history="1" r:id="rIdjmagc0hk2gfz0gssqh19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60"/>
        <w:ind w:firstLine="567"/>
        <w:jc w:val="both"/>
      </w:pPr>
      <w:r>
        <w:rPr>
          <w:rFonts w:ascii="Arial" w:cs="Arial" w:eastAsia="Arial" w:hAnsi="Arial"/>
          <w:sz w:val="24"/>
          <w:szCs w:val="24"/>
        </w:rPr>
        <w:t xml:space="preserve">- с 1 января 2023 года - не менее 6%;</w:t>
      </w:r>
    </w:p>
    <w:p>
      <w:pPr>
        <w:spacing w:after="60"/>
        <w:ind w:firstLine="567"/>
        <w:jc w:val="both"/>
      </w:pPr>
      <w:r>
        <w:rPr>
          <w:rFonts w:ascii="Arial" w:cs="Arial" w:eastAsia="Arial" w:hAnsi="Arial"/>
          <w:sz w:val="24"/>
          <w:szCs w:val="24"/>
        </w:rPr>
        <w:t xml:space="preserve">- с 1 января 2024 года - не менее 8%.</w:t>
      </w:r>
    </w:p>
    <w:p>
      <w:pPr>
        <w:spacing w:after="60"/>
        <w:ind w:firstLine="567"/>
        <w:jc w:val="both"/>
      </w:pPr>
      <w:r>
        <w:rPr>
          <w:rFonts w:ascii="Arial" w:cs="Arial" w:eastAsia="Arial" w:hAnsi="Arial"/>
          <w:sz w:val="24"/>
          <w:szCs w:val="24"/>
        </w:rPr>
        <w:t xml:space="preserve">7. Установить для коммерческих банков срок действия подпункта 2 пункта 3.10 </w:t>
      </w:r>
      <w:hyperlink w:history="1" r:id="rId0xnlvydbxsvusgcp8a42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в части, касающейся исключения нематериальных активов, связанных с техническими и программными продуктами, до января 2024 года.</w:t>
      </w:r>
    </w:p>
    <w:p>
      <w:pPr>
        <w:spacing w:after="60"/>
        <w:ind w:firstLine="567"/>
        <w:jc w:val="both"/>
      </w:pPr>
      <w:r>
        <w:rPr>
          <w:rFonts w:ascii="Arial" w:cs="Arial" w:eastAsia="Arial" w:hAnsi="Arial"/>
          <w:sz w:val="24"/>
          <w:szCs w:val="24"/>
        </w:rPr>
        <w:t xml:space="preserve">8. Признать утратившим силу пункт 3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27 декабря 2019 года № 2019-П-12/68-2-(НПА) со дня вступления в силу настоящего постановления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9.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10.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ОАО "Финансовая компания кредитных союзов", ОЮЛ "Ассоциация микрофинансовых организаций", микрофинансовых компаний, имеющих право на привлечение депозитов, соответствующих структурных подразделений, областных управлений, представительства Национального банка в Баткенской области.</w:t>
      </w:r>
    </w:p>
    <w:p>
      <w:pPr>
        <w:spacing w:after="60"/>
        <w:ind w:firstLine="567"/>
        <w:jc w:val="both"/>
      </w:pPr>
      <w:r>
        <w:rPr>
          <w:rFonts w:ascii="Arial" w:cs="Arial" w:eastAsia="Arial" w:hAnsi="Arial"/>
          <w:sz w:val="24"/>
          <w:szCs w:val="24"/>
        </w:rPr>
        <w:t xml:space="preserve">11.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15 сентября 2021 года № 2021-П-12/51-1-(НПА)</w:t>
      </w:r>
    </w:p>
    <w:p>
      <w:pPr>
        <w:spacing w:after="400" w:before="4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 по вопросу управления рисками и капитала банков</w:t>
      </w:r>
    </w:p>
    <w:p>
      <w:pPr>
        <w:spacing w:after="60"/>
        <w:ind w:firstLine="567"/>
        <w:jc w:val="both"/>
      </w:pPr>
      <w:r>
        <w:rPr>
          <w:rFonts w:ascii="Arial" w:cs="Arial" w:eastAsia="Arial" w:hAnsi="Arial"/>
          <w:sz w:val="24"/>
          <w:szCs w:val="24"/>
        </w:rPr>
        <w:t xml:space="preserve">1. Внести в </w:t>
      </w:r>
      <w:hyperlink w:history="1" r:id="rId9kfdj18iwoaoijwuuton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vgpmrdy1mxdjq7dvuyao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следующие изменения:</w:t>
      </w:r>
    </w:p>
    <w:p>
      <w:pPr>
        <w:spacing w:after="60"/>
        <w:ind w:firstLine="567"/>
        <w:jc w:val="both"/>
      </w:pPr>
      <w:r>
        <w:rPr>
          <w:rFonts w:ascii="Arial" w:cs="Arial" w:eastAsia="Arial" w:hAnsi="Arial"/>
          <w:sz w:val="24"/>
          <w:szCs w:val="24"/>
        </w:rPr>
        <w:t xml:space="preserve">в </w:t>
      </w:r>
      <w:hyperlink w:history="1" r:id="rIdjbajhvktll_s62-ralmt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утвержденном вышеуказанным </w:t>
      </w:r>
      <w:hyperlink w:history="1" r:id="rIddd6d-6dt_9snzet-x_jv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3.2:</w:t>
      </w:r>
    </w:p>
    <w:p>
      <w:pPr>
        <w:spacing w:after="60"/>
        <w:ind w:firstLine="567"/>
        <w:jc w:val="both"/>
      </w:pPr>
      <w:r>
        <w:rPr>
          <w:rFonts w:ascii="Arial" w:cs="Arial" w:eastAsia="Arial" w:hAnsi="Arial"/>
          <w:sz w:val="24"/>
          <w:szCs w:val="24"/>
        </w:rPr>
        <w:t xml:space="preserve">в абзаце третьем цифру "6%" заменить цифрой "7,5%";</w:t>
      </w:r>
    </w:p>
    <w:p>
      <w:pPr>
        <w:spacing w:after="60"/>
        <w:ind w:firstLine="567"/>
        <w:jc w:val="both"/>
      </w:pPr>
      <w:r>
        <w:rPr>
          <w:rFonts w:ascii="Arial" w:cs="Arial" w:eastAsia="Arial" w:hAnsi="Arial"/>
          <w:sz w:val="24"/>
          <w:szCs w:val="24"/>
        </w:rPr>
        <w:t xml:space="preserve">в абзаце четвертом цифру "4,5%" заменить цифрой "6%";</w:t>
      </w:r>
    </w:p>
    <w:p>
      <w:pPr>
        <w:spacing w:after="60"/>
        <w:ind w:firstLine="567"/>
        <w:jc w:val="both"/>
      </w:pPr>
      <w:r>
        <w:rPr>
          <w:rFonts w:ascii="Arial" w:cs="Arial" w:eastAsia="Arial" w:hAnsi="Arial"/>
          <w:sz w:val="24"/>
          <w:szCs w:val="24"/>
        </w:rPr>
        <w:t xml:space="preserve">- </w:t>
      </w:r>
      <w:hyperlink w:history="1" r:id="rIdg0_kgsa-wxy0icbkhznc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пунктом 3.2-1 следующего содержания:</w:t>
      </w:r>
    </w:p>
    <w:p>
      <w:pPr>
        <w:spacing w:after="60"/>
        <w:ind w:firstLine="567"/>
        <w:jc w:val="both"/>
      </w:pPr>
      <w:r>
        <w:rPr>
          <w:rFonts w:ascii="Arial" w:cs="Arial" w:eastAsia="Arial" w:hAnsi="Arial"/>
          <w:sz w:val="24"/>
          <w:szCs w:val="24"/>
        </w:rPr>
        <w:t xml:space="preserve">"3.2-1. Для системно значимых банков коэффициенты достаточности (адекватности) капитала должны составлять:</w:t>
      </w:r>
    </w:p>
    <w:p>
      <w:pPr>
        <w:spacing w:after="60"/>
        <w:ind w:firstLine="567"/>
        <w:jc w:val="both"/>
      </w:pPr>
      <w:r>
        <w:rPr>
          <w:rFonts w:ascii="Arial" w:cs="Arial" w:eastAsia="Arial" w:hAnsi="Arial"/>
          <w:sz w:val="24"/>
          <w:szCs w:val="24"/>
        </w:rPr>
        <w:t xml:space="preserve">- коэффициент достаточности (адекватности) суммарного капитала (К2.1) - не менее 14%;</w:t>
      </w:r>
    </w:p>
    <w:p>
      <w:pPr>
        <w:spacing w:after="60"/>
        <w:ind w:firstLine="567"/>
        <w:jc w:val="both"/>
      </w:pPr>
      <w:r>
        <w:rPr>
          <w:rFonts w:ascii="Arial" w:cs="Arial" w:eastAsia="Arial" w:hAnsi="Arial"/>
          <w:sz w:val="24"/>
          <w:szCs w:val="24"/>
        </w:rPr>
        <w:t xml:space="preserve">- коэффициент достаточности (адекватности) капитала Первого уровня (К2.2) - не менее 9,5%; </w:t>
      </w:r>
    </w:p>
    <w:p>
      <w:pPr>
        <w:spacing w:after="60"/>
        <w:ind w:firstLine="567"/>
        <w:jc w:val="both"/>
      </w:pPr>
      <w:r>
        <w:rPr>
          <w:rFonts w:ascii="Arial" w:cs="Arial" w:eastAsia="Arial" w:hAnsi="Arial"/>
          <w:sz w:val="24"/>
          <w:szCs w:val="24"/>
        </w:rPr>
        <w:t xml:space="preserve">- коэффициент достаточности (адекватности) Базового капитала Первого уровня (К2.3) - не менее 8%.";</w:t>
      </w:r>
    </w:p>
    <w:p>
      <w:pPr>
        <w:spacing w:after="60"/>
        <w:ind w:firstLine="567"/>
        <w:jc w:val="both"/>
      </w:pPr>
      <w:r>
        <w:rPr>
          <w:rFonts w:ascii="Arial" w:cs="Arial" w:eastAsia="Arial" w:hAnsi="Arial"/>
          <w:sz w:val="24"/>
          <w:szCs w:val="24"/>
        </w:rPr>
        <w:t xml:space="preserve">- в пункте 3.3 цифру "8%" заменить цифрой "6%".</w:t>
      </w:r>
    </w:p>
    <w:p>
      <w:pPr>
        <w:spacing w:after="60"/>
        <w:ind w:firstLine="567"/>
        <w:jc w:val="both"/>
      </w:pPr>
      <w:r>
        <w:rPr>
          <w:rFonts w:ascii="Arial" w:cs="Arial" w:eastAsia="Arial" w:hAnsi="Arial"/>
          <w:sz w:val="24"/>
          <w:szCs w:val="24"/>
        </w:rPr>
        <w:t xml:space="preserve">2. Внести в </w:t>
      </w:r>
      <w:hyperlink w:history="1" r:id="rId1x_-9e7zknnpufv0qps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xskhc_5sgb6f6bgghcnc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 следующие изменения: </w:t>
      </w:r>
    </w:p>
    <w:p>
      <w:pPr>
        <w:spacing w:after="60"/>
        <w:ind w:firstLine="567"/>
        <w:jc w:val="both"/>
      </w:pPr>
      <w:r>
        <w:rPr>
          <w:rFonts w:ascii="Arial" w:cs="Arial" w:eastAsia="Arial" w:hAnsi="Arial"/>
          <w:sz w:val="24"/>
          <w:szCs w:val="24"/>
        </w:rPr>
        <w:t xml:space="preserve">в </w:t>
      </w:r>
      <w:hyperlink w:history="1" r:id="rIdtbybc32wnksoxdajrt9x6">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w:history="1" r:id="rIdhazv-xaq3pwj33anla0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2.1.2 изложить в следующей редакции:</w:t>
      </w:r>
    </w:p>
    <w:p>
      <w:pPr>
        <w:spacing w:after="60"/>
        <w:ind w:firstLine="567"/>
        <w:jc w:val="both"/>
      </w:pPr>
      <w:r>
        <w:rPr>
          <w:rFonts w:ascii="Arial" w:cs="Arial" w:eastAsia="Arial" w:hAnsi="Arial"/>
          <w:sz w:val="24"/>
          <w:szCs w:val="24"/>
        </w:rPr>
        <w:t xml:space="preserve">"2.1.2. Собственный (регулятивный) капитал является капиталом Первого уровня.";</w:t>
      </w:r>
    </w:p>
    <w:p>
      <w:pPr>
        <w:spacing w:after="60"/>
        <w:ind w:firstLine="567"/>
        <w:jc w:val="both"/>
      </w:pPr>
      <w:r>
        <w:rPr>
          <w:rFonts w:ascii="Arial" w:cs="Arial" w:eastAsia="Arial" w:hAnsi="Arial"/>
          <w:sz w:val="24"/>
          <w:szCs w:val="24"/>
        </w:rPr>
        <w:t xml:space="preserve">- в пункте 2.2: </w:t>
      </w:r>
    </w:p>
    <w:p>
      <w:pPr>
        <w:spacing w:after="60"/>
        <w:ind w:firstLine="567"/>
        <w:jc w:val="both"/>
      </w:pPr>
      <w:r>
        <w:rPr>
          <w:rFonts w:ascii="Arial" w:cs="Arial" w:eastAsia="Arial" w:hAnsi="Arial"/>
          <w:sz w:val="24"/>
          <w:szCs w:val="24"/>
        </w:rPr>
        <w:t xml:space="preserve">подпункт "а" изложить в следующей редакции:</w:t>
      </w:r>
    </w:p>
    <w:p>
      <w:pPr>
        <w:spacing w:after="60"/>
        <w:ind w:firstLine="567"/>
        <w:jc w:val="both"/>
      </w:pPr>
      <w:r>
        <w:rPr>
          <w:rFonts w:ascii="Arial" w:cs="Arial" w:eastAsia="Arial" w:hAnsi="Arial"/>
          <w:sz w:val="24"/>
          <w:szCs w:val="24"/>
        </w:rPr>
        <w:t xml:space="preserve">"а) коэффициент достаточности (адекватности) суммарного капитала (К2.1)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К2.1 = (ЧСК / (ЧРА + П * Кор))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ЧСК - чистый Суммарный капитал, который определяется как сумма капитала Первого уровня и капитала Второго уровня.</w:t>
      </w:r>
    </w:p>
    <w:p>
      <w:pPr>
        <w:spacing w:after="60"/>
        <w:ind w:firstLine="567"/>
        <w:jc w:val="both"/>
      </w:pPr>
      <w:r>
        <w:rPr>
          <w:rFonts w:ascii="Arial" w:cs="Arial" w:eastAsia="Arial" w:hAnsi="Arial"/>
          <w:sz w:val="24"/>
          <w:szCs w:val="24"/>
        </w:rPr>
        <w:t xml:space="preserve">ЧРА -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spacing w:after="60"/>
        <w:ind w:firstLine="567"/>
        <w:jc w:val="both"/>
      </w:pPr>
      <w:r>
        <w:rPr>
          <w:rFonts w:ascii="Arial" w:cs="Arial" w:eastAsia="Arial" w:hAnsi="Arial"/>
          <w:sz w:val="24"/>
          <w:szCs w:val="24"/>
        </w:rPr>
        <w:t xml:space="preserve">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 </w:t>
      </w:r>
    </w:p>
    <w:p>
      <w:pPr>
        <w:spacing w:after="60"/>
        <w:ind w:firstLine="567"/>
        <w:jc w:val="both"/>
      </w:pPr>
      <w:r>
        <w:rPr>
          <w:rFonts w:ascii="Arial" w:cs="Arial" w:eastAsia="Arial" w:hAnsi="Arial"/>
          <w:sz w:val="24"/>
          <w:szCs w:val="24"/>
        </w:rPr>
        <w:t xml:space="preserve">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Кыргызской Республики.";</w:t>
      </w:r>
    </w:p>
    <w:p>
      <w:pPr>
        <w:spacing w:after="60"/>
        <w:ind w:firstLine="567"/>
        <w:jc w:val="both"/>
      </w:pPr>
      <w:r>
        <w:rPr>
          <w:rFonts w:ascii="Arial" w:cs="Arial" w:eastAsia="Arial" w:hAnsi="Arial"/>
          <w:sz w:val="24"/>
          <w:szCs w:val="24"/>
        </w:rPr>
        <w:t xml:space="preserve">абзац первый подпункта "б" изложить в следующей редакции: </w:t>
      </w:r>
    </w:p>
    <w:p>
      <w:pPr>
        <w:spacing w:after="60"/>
        <w:ind w:firstLine="567"/>
        <w:jc w:val="both"/>
      </w:pPr>
      <w:r>
        <w:rPr>
          <w:rFonts w:ascii="Arial" w:cs="Arial" w:eastAsia="Arial" w:hAnsi="Arial"/>
          <w:sz w:val="24"/>
          <w:szCs w:val="24"/>
        </w:rPr>
        <w:t xml:space="preserve">"б) коэффициент достаточности (адекватности) капитала Первого уровня (К2.2) определяется по формуле:"; </w:t>
      </w:r>
    </w:p>
    <w:p>
      <w:pPr>
        <w:spacing w:after="60"/>
        <w:ind w:firstLine="567"/>
        <w:jc w:val="both"/>
      </w:pPr>
      <w:r>
        <w:rPr>
          <w:rFonts w:ascii="Arial" w:cs="Arial" w:eastAsia="Arial" w:hAnsi="Arial"/>
          <w:sz w:val="24"/>
          <w:szCs w:val="24"/>
        </w:rPr>
        <w:t xml:space="preserve">абзац первый подпункта "в" изложить в следующей редакции: </w:t>
      </w:r>
    </w:p>
    <w:p>
      <w:pPr>
        <w:spacing w:after="60"/>
        <w:ind w:firstLine="567"/>
        <w:jc w:val="both"/>
      </w:pPr>
      <w:r>
        <w:rPr>
          <w:rFonts w:ascii="Arial" w:cs="Arial" w:eastAsia="Arial" w:hAnsi="Arial"/>
          <w:sz w:val="24"/>
          <w:szCs w:val="24"/>
        </w:rPr>
        <w:t xml:space="preserve">"в) коэффициент достаточности (адекватности) Базового капитала Первого уровня (К2.3) определяется по формуле:";</w:t>
      </w:r>
    </w:p>
    <w:p>
      <w:pPr>
        <w:spacing w:after="60"/>
        <w:ind w:firstLine="567"/>
        <w:jc w:val="both"/>
      </w:pPr>
      <w:r>
        <w:rPr>
          <w:rFonts w:ascii="Arial" w:cs="Arial" w:eastAsia="Arial" w:hAnsi="Arial"/>
          <w:sz w:val="24"/>
          <w:szCs w:val="24"/>
        </w:rPr>
        <w:t xml:space="preserve">- пункт 2.3 изложить в следующей редакции: </w:t>
      </w:r>
    </w:p>
    <w:p>
      <w:pPr>
        <w:spacing w:after="60"/>
        <w:ind w:firstLine="567"/>
        <w:jc w:val="both"/>
      </w:pPr>
      <w:r>
        <w:rPr>
          <w:rFonts w:ascii="Arial" w:cs="Arial" w:eastAsia="Arial" w:hAnsi="Arial"/>
          <w:sz w:val="24"/>
          <w:szCs w:val="24"/>
        </w:rPr>
        <w:t xml:space="preserve">"2.3. Левераж (К2.4)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К2.4 = (КПУ / (СА + ЗО)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СА - суммарные активы банка за минусом нематериальных активов и специальных резервов на покрытие потенциальных потерь и убытков;</w:t>
      </w:r>
    </w:p>
    <w:p>
      <w:pPr>
        <w:spacing w:after="60"/>
        <w:ind w:firstLine="567"/>
        <w:jc w:val="both"/>
      </w:pPr>
      <w:r>
        <w:rPr>
          <w:rFonts w:ascii="Arial" w:cs="Arial" w:eastAsia="Arial" w:hAnsi="Arial"/>
          <w:sz w:val="24"/>
          <w:szCs w:val="24"/>
        </w:rPr>
        <w:t xml:space="preserve">ЗО - забалансовые обязательства с учетом факторов кредитной конверсии, определенных настоящей Инструкцией, а также те обязательства, по которым банк имеет право безусловного отзыва/аннулирования в любое время без предварительного уведомления клиента, и к которым может быть применен фактор кредитной конверсии в размере 10% от общей суммы таких забалансовых обязательств. При этом сумма резервов на покрытие потенциальных потерь и убытков вычитается из забалансовых обязательств (после применения факторов кредитной конверсии) в пределах суммы взвешенных забалансовых обязательств.";</w:t>
      </w:r>
    </w:p>
    <w:p>
      <w:pPr>
        <w:spacing w:after="60"/>
        <w:ind w:firstLine="567"/>
        <w:jc w:val="both"/>
      </w:pPr>
      <w:r>
        <w:rPr>
          <w:rFonts w:ascii="Arial" w:cs="Arial" w:eastAsia="Arial" w:hAnsi="Arial"/>
          <w:sz w:val="24"/>
          <w:szCs w:val="24"/>
        </w:rPr>
        <w:t xml:space="preserve">- пункт 3.10 изложить в следующей редакции:</w:t>
      </w:r>
    </w:p>
    <w:p>
      <w:pPr>
        <w:spacing w:after="60"/>
        <w:ind w:firstLine="567"/>
        <w:jc w:val="both"/>
      </w:pPr>
      <w:r>
        <w:rPr>
          <w:rFonts w:ascii="Arial" w:cs="Arial" w:eastAsia="Arial" w:hAnsi="Arial"/>
          <w:sz w:val="24"/>
          <w:szCs w:val="24"/>
        </w:rPr>
        <w:t xml:space="preserve">"3.10. До расчета коэффициентов достаточности (адекватности) Чистого Суммарного капитала, достаточности (адекватности) капитала Первого уровня, Базового капитала Первого уровня и коэффициента Левеража из Базового капитала Первого уровня вычитаются следующие элементы:</w:t>
      </w:r>
    </w:p>
    <w:p>
      <w:pPr>
        <w:spacing w:after="60"/>
        <w:ind w:firstLine="567"/>
        <w:jc w:val="both"/>
      </w:pPr>
      <w:r>
        <w:rPr>
          <w:rFonts w:ascii="Arial" w:cs="Arial" w:eastAsia="Arial" w:hAnsi="Arial"/>
          <w:sz w:val="24"/>
          <w:szCs w:val="24"/>
        </w:rPr>
        <w:t xml:space="preserve">1) убытки за текущий год;</w:t>
      </w:r>
    </w:p>
    <w:p>
      <w:pPr>
        <w:spacing w:after="60"/>
        <w:ind w:firstLine="567"/>
        <w:jc w:val="both"/>
      </w:pPr>
      <w:r>
        <w:rPr>
          <w:rFonts w:ascii="Arial" w:cs="Arial" w:eastAsia="Arial" w:hAnsi="Arial"/>
          <w:sz w:val="24"/>
          <w:szCs w:val="24"/>
        </w:rPr>
        <w:t xml:space="preserve">2) нематериальные активы, за исключением активов, связанных с техническими и программными продуктами (например, для биометрической идентификации, смарт-контракты и др.), направленными на увеличение количества клиентов и охвата услуг, которые соответствуют следующим требованиям:</w:t>
      </w:r>
    </w:p>
    <w:p>
      <w:pPr>
        <w:spacing w:after="60"/>
        <w:ind w:firstLine="567"/>
        <w:jc w:val="both"/>
      </w:pPr>
      <w:r>
        <w:rPr>
          <w:rFonts w:ascii="Arial" w:cs="Arial" w:eastAsia="Arial" w:hAnsi="Arial"/>
          <w:sz w:val="24"/>
          <w:szCs w:val="24"/>
        </w:rPr>
        <w:t xml:space="preserve">- решение должно быть новым или значительно отличаться от существующих предложений рынка, либо предлагать новые возможности использования существующих технологий, что подтверждается исследованиями рынка и сравнением ключевых характеристик технологии; </w:t>
      </w:r>
    </w:p>
    <w:p>
      <w:pPr>
        <w:spacing w:after="60"/>
        <w:ind w:firstLine="567"/>
        <w:jc w:val="both"/>
      </w:pPr>
      <w:r>
        <w:rPr>
          <w:rFonts w:ascii="Arial" w:cs="Arial" w:eastAsia="Arial" w:hAnsi="Arial"/>
          <w:sz w:val="24"/>
          <w:szCs w:val="24"/>
        </w:rPr>
        <w:t xml:space="preserve">- решение должно предлагать клиентам очевидные прямые или косвенные выгоды (например, техническое задание, показывающее повышенную безопасность, качество обслуживания, эффективность, качество продукции, более низкие цены, сочетание любого из перечисленных) и подкрепляться сравнительным анализом банка с количественными оценками при необходимости.</w:t>
      </w:r>
    </w:p>
    <w:p>
      <w:pPr>
        <w:spacing w:after="60"/>
        <w:ind w:firstLine="567"/>
        <w:jc w:val="both"/>
      </w:pPr>
      <w:r>
        <w:rPr>
          <w:rFonts w:ascii="Arial" w:cs="Arial" w:eastAsia="Arial" w:hAnsi="Arial"/>
          <w:sz w:val="24"/>
          <w:szCs w:val="24"/>
        </w:rPr>
        <w:t xml:space="preserve">В случае наличия результатов технического тестирования они должны быть доступны Национальному банку. В качестве альтернативы возможно предоставление подтверждения технической надежности данного решения от независимой третьей стороны.</w:t>
      </w:r>
    </w:p>
    <w:p>
      <w:pPr>
        <w:spacing w:after="60"/>
        <w:ind w:firstLine="567"/>
        <w:jc w:val="both"/>
      </w:pPr>
      <w:r>
        <w:rPr>
          <w:rFonts w:ascii="Arial" w:cs="Arial" w:eastAsia="Arial" w:hAnsi="Arial"/>
          <w:sz w:val="24"/>
          <w:szCs w:val="24"/>
        </w:rPr>
        <w:t xml:space="preserve">Данные технические и программные продукты должны учитываться банком по балансовой стоимости;</w:t>
      </w:r>
    </w:p>
    <w:p>
      <w:pPr>
        <w:spacing w:after="60"/>
        <w:ind w:firstLine="567"/>
        <w:jc w:val="both"/>
      </w:pPr>
      <w:r>
        <w:rPr>
          <w:rFonts w:ascii="Arial" w:cs="Arial" w:eastAsia="Arial" w:hAnsi="Arial"/>
          <w:sz w:val="24"/>
          <w:szCs w:val="24"/>
        </w:rPr>
        <w:t xml:space="preserve">3)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Если банк инвестирует в эти организации дополнительный капитал Первого уровня или Капитал Второго уровня, эти инвестиции должны вычитаться из соответствующего капитала; </w:t>
      </w:r>
    </w:p>
    <w:p>
      <w:pPr>
        <w:spacing w:after="60"/>
        <w:ind w:firstLine="567"/>
        <w:jc w:val="both"/>
      </w:pPr>
      <w:r>
        <w:rPr>
          <w:rFonts w:ascii="Arial" w:cs="Arial" w:eastAsia="Arial" w:hAnsi="Arial"/>
          <w:sz w:val="24"/>
          <w:szCs w:val="24"/>
        </w:rPr>
        <w:t xml:space="preserve">4) все отсроченные налоговые активы, которые зависят от будущей доходности, рассчитанные на основе Международных стандартов финансовой отчетности (МСФО) 12, за исключением отсроченных налоговых активов, связанных с временными разницами. Отсроченные налоговые активы могут быть зачтены с отсроченными налоговыми обязательствами, если выполнены условия МСФО 12;</w:t>
      </w:r>
    </w:p>
    <w:p>
      <w:pPr>
        <w:spacing w:after="60"/>
        <w:ind w:firstLine="567"/>
        <w:jc w:val="both"/>
      </w:pPr>
      <w:r>
        <w:rPr>
          <w:rFonts w:ascii="Arial" w:cs="Arial" w:eastAsia="Arial" w:hAnsi="Arial"/>
          <w:sz w:val="24"/>
          <w:szCs w:val="24"/>
        </w:rPr>
        <w:t xml:space="preserve">5) прямые или косвенные инвестиции в собственные акции. 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пяти лет до дня принятия решения о выкупе собственных акций. Банк будет вычитать эти акции до тех пор, пока они не будут проданы.</w:t>
      </w:r>
    </w:p>
    <w:p>
      <w:pPr>
        <w:spacing w:after="60"/>
        <w:ind w:firstLine="567"/>
        <w:jc w:val="both"/>
      </w:pPr>
      <w:r>
        <w:rPr>
          <w:rFonts w:ascii="Arial" w:cs="Arial" w:eastAsia="Arial" w:hAnsi="Arial"/>
          <w:sz w:val="24"/>
          <w:szCs w:val="24"/>
        </w:rPr>
        <w:t xml:space="preserve">Используя идентичный подход, банки должны вычесть инвестиции в свой собственный Дополнительный капитал Первого уровня при расчете Дополнительного капитала Первого уровня и должны вычесть инвестиции в их собственный Капитал Второго уровня при расчете своего Капитала Второго уровня.</w:t>
      </w:r>
    </w:p>
    <w:p>
      <w:pPr>
        <w:spacing w:after="60"/>
        <w:ind w:firstLine="567"/>
        <w:jc w:val="both"/>
      </w:pPr>
      <w:r>
        <w:rPr>
          <w:rFonts w:ascii="Arial" w:cs="Arial" w:eastAsia="Arial" w:hAnsi="Arial"/>
          <w:sz w:val="24"/>
          <w:szCs w:val="24"/>
        </w:rPr>
        <w:t xml:space="preserve">Взаимные перекрестные владения капиталом, которые приводят к искусственному увеличению капитальной позиции банка, должны быть вычтены в полном объеме. Банки должны применять "соответствующий подход к вычету" для таких инвестиций в капитал других банков, других финансовых и страховых организаций. Это означает, что вычет должен применяться к тому же компоненту капитала, для которого капитал будет квалифицироваться также как, если бы он был выпущен самим банком.";</w:t>
      </w:r>
    </w:p>
    <w:p>
      <w:pPr>
        <w:spacing w:after="60"/>
        <w:ind w:firstLine="567"/>
        <w:jc w:val="both"/>
      </w:pPr>
      <w:r>
        <w:rPr>
          <w:rFonts w:ascii="Arial" w:cs="Arial" w:eastAsia="Arial" w:hAnsi="Arial"/>
          <w:sz w:val="24"/>
          <w:szCs w:val="24"/>
        </w:rPr>
        <w:t xml:space="preserve">- в пункте 4.3: </w:t>
      </w:r>
    </w:p>
    <w:p>
      <w:pPr>
        <w:spacing w:after="60"/>
        <w:ind w:firstLine="567"/>
        <w:jc w:val="both"/>
      </w:pPr>
      <w:r>
        <w:rPr>
          <w:rFonts w:ascii="Arial" w:cs="Arial" w:eastAsia="Arial" w:hAnsi="Arial"/>
          <w:sz w:val="24"/>
          <w:szCs w:val="24"/>
        </w:rPr>
        <w:t xml:space="preserve">в подпункте 1 подпункт "и" признать утратившим силу;</w:t>
      </w:r>
    </w:p>
    <w:p>
      <w:pPr>
        <w:spacing w:after="60"/>
        <w:ind w:firstLine="567"/>
        <w:jc w:val="both"/>
      </w:pPr>
      <w:r>
        <w:rPr>
          <w:rFonts w:ascii="Arial" w:cs="Arial" w:eastAsia="Arial" w:hAnsi="Arial"/>
          <w:sz w:val="24"/>
          <w:szCs w:val="24"/>
        </w:rPr>
        <w:t xml:space="preserve">в подпункте 4 подпункт "г" признать утратившим силу;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5</w:t>
      </w:r>
      <w:r>
        <w:rPr>
          <w:rFonts w:ascii="Arial" w:cs="Arial" w:eastAsia="Arial" w:hAnsi="Arial"/>
          <w:sz w:val="24"/>
          <w:szCs w:val="24"/>
        </w:rPr>
        <w:t xml:space="preserve"> дополнить пунктом 5.3-1 следующего содержания:</w:t>
      </w:r>
    </w:p>
    <w:p>
      <w:pPr>
        <w:spacing w:after="60"/>
        <w:ind w:firstLine="567"/>
        <w:jc w:val="both"/>
      </w:pPr>
      <w:r>
        <w:rPr>
          <w:rFonts w:ascii="Arial" w:cs="Arial" w:eastAsia="Arial" w:hAnsi="Arial"/>
          <w:sz w:val="24"/>
          <w:szCs w:val="24"/>
        </w:rPr>
        <w:t xml:space="preserve">"5.3-1. К забалансовым обязательствам, по которым банк имеет право безусловного отзыва/аннулирования в любое время без предварительного уведомления клиента, применяется фактор кредитной конверсии в размере 10%.";</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w:t>
      </w:r>
      <w:r>
        <w:rPr>
          <w:rFonts w:ascii="Arial" w:cs="Arial" w:eastAsia="Arial" w:hAnsi="Arial"/>
          <w:sz w:val="24"/>
          <w:szCs w:val="24"/>
        </w:rPr>
        <w:t xml:space="preserve"> к Инструкции: </w:t>
      </w:r>
    </w:p>
    <w:p>
      <w:pPr>
        <w:spacing w:after="60"/>
        <w:ind w:firstLine="567"/>
        <w:jc w:val="both"/>
      </w:pPr>
      <w:r>
        <w:rPr>
          <w:rFonts w:ascii="Arial" w:cs="Arial" w:eastAsia="Arial" w:hAnsi="Arial"/>
          <w:sz w:val="24"/>
          <w:szCs w:val="24"/>
        </w:rPr>
        <w:t xml:space="preserve">в разделе "Забалансовые обязательства":</w:t>
      </w:r>
    </w:p>
    <w:p>
      <w:pPr>
        <w:spacing w:after="60"/>
        <w:ind w:firstLine="567"/>
        <w:jc w:val="both"/>
      </w:pPr>
      <w:r>
        <w:rPr>
          <w:rFonts w:ascii="Arial" w:cs="Arial" w:eastAsia="Arial" w:hAnsi="Arial"/>
          <w:sz w:val="24"/>
          <w:szCs w:val="24"/>
        </w:rPr>
        <w:t xml:space="preserve">дополнить статьей 595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
        <w:gridCol w:w="6852"/>
        <w:gridCol w:w="723"/>
        <w:gridCol w:w="723"/>
        <w:gridCol w:w="723"/>
        <w:gridCol w:w="621"/>
      </w:tblGrid>
      <w:tr>
        <w:tc>
          <w:tcPr>
            <w:tcW w:type="dxa" w:w="5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595</w:t>
            </w:r>
          </w:p>
        </w:tc>
        <w:tc>
          <w:tcPr>
            <w:tcW w:type="dxa" w:w="6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7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статью 600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
        <w:gridCol w:w="6852"/>
        <w:gridCol w:w="723"/>
        <w:gridCol w:w="723"/>
        <w:gridCol w:w="723"/>
        <w:gridCol w:w="621"/>
      </w:tblGrid>
      <w:tr>
        <w:tc>
          <w:tcPr>
            <w:tcW w:type="dxa" w:w="5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забалансовых обязательств (сумма ст. 510-595)</w:t>
            </w:r>
          </w:p>
        </w:tc>
        <w:tc>
          <w:tcPr>
            <w:tcW w:type="dxa" w:w="7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Внести в </w:t>
      </w:r>
      <w:hyperlink w:history="1" r:id="rIdbuys3-nt8erkfe3cyn28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wsgbyjvwabbwrcip5zkc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21 июля 2004 года № 18/3 следующие изменения:</w:t>
      </w:r>
    </w:p>
    <w:p>
      <w:pPr>
        <w:spacing w:after="60"/>
        <w:ind w:firstLine="567"/>
        <w:jc w:val="both"/>
      </w:pPr>
      <w:r>
        <w:rPr>
          <w:rFonts w:ascii="Arial" w:cs="Arial" w:eastAsia="Arial" w:hAnsi="Arial"/>
          <w:sz w:val="24"/>
          <w:szCs w:val="24"/>
        </w:rPr>
        <w:t xml:space="preserve">в </w:t>
      </w:r>
      <w:hyperlink w:history="1" r:id="rIdzrnhaewm7hrktwfuzvxw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w:history="1" r:id="rIdq-h8i6z0gxrlsez19qq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4.1.1.:</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"4.1.1. Нормальными называются те активы, обеспечение по которым покрывает в полном объеме основную сумму актива и сумму процентной ставки, рассчитанную как произведение основной суммы актива и номинальной процентной ставки в годовом выражении согласно договору (например, основная сумма актива составляет 100 тыс. сом, а процентная ставка 10%, соответственно, покрытие должно составлять 110 тыс. сом). При этом данное обеспечение состоит из:";</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 государственных ценных бумаг Кыргызской Республики и нот Национального банка (далее - ГЦБ) (если срок погашения ГЦБ наступает до срока погашения актива, то банк должен в качестве залогового обеспечения принять денежные средства, полученные от погашения ГЦБ, либо принять в качестве обеспечения дополнительно аналогичный (аналогичные) ГЦБ);";</w:t>
      </w:r>
    </w:p>
    <w:p>
      <w:pPr>
        <w:spacing w:after="60"/>
        <w:ind w:firstLine="567"/>
        <w:jc w:val="both"/>
      </w:pPr>
      <w:r>
        <w:rPr>
          <w:rFonts w:ascii="Arial" w:cs="Arial" w:eastAsia="Arial" w:hAnsi="Arial"/>
          <w:sz w:val="24"/>
          <w:szCs w:val="24"/>
        </w:rPr>
        <w:t xml:space="preserve">подпункт 5 изложить в следующей редакции:</w:t>
      </w:r>
    </w:p>
    <w:p>
      <w:pPr>
        <w:spacing w:after="60"/>
        <w:ind w:firstLine="567"/>
        <w:jc w:val="both"/>
      </w:pPr>
      <w:r>
        <w:rPr>
          <w:rFonts w:ascii="Arial" w:cs="Arial" w:eastAsia="Arial" w:hAnsi="Arial"/>
          <w:sz w:val="24"/>
          <w:szCs w:val="24"/>
        </w:rPr>
        <w:t xml:space="preserve">"5) средства на депозите, обеспечивающие активы,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w:t>
      </w:r>
    </w:p>
    <w:p>
      <w:pPr>
        <w:spacing w:after="60"/>
        <w:ind w:firstLine="567"/>
        <w:jc w:val="both"/>
      </w:pPr>
      <w:r>
        <w:rPr>
          <w:rFonts w:ascii="Arial" w:cs="Arial" w:eastAsia="Arial" w:hAnsi="Arial"/>
          <w:sz w:val="24"/>
          <w:szCs w:val="24"/>
        </w:rPr>
        <w:t xml:space="preserve">- пункт 4.1.3. признать утратившим силу;</w:t>
      </w:r>
    </w:p>
    <w:p>
      <w:pPr>
        <w:spacing w:after="60"/>
        <w:ind w:firstLine="567"/>
        <w:jc w:val="both"/>
      </w:pPr>
      <w:r>
        <w:rPr>
          <w:rFonts w:ascii="Arial" w:cs="Arial" w:eastAsia="Arial" w:hAnsi="Arial"/>
          <w:sz w:val="24"/>
          <w:szCs w:val="24"/>
        </w:rPr>
        <w:t xml:space="preserve">- в пункте 4.2.2.:</w:t>
      </w:r>
    </w:p>
    <w:p>
      <w:pPr>
        <w:spacing w:after="60"/>
        <w:ind w:firstLine="567"/>
        <w:jc w:val="both"/>
      </w:pPr>
      <w:r>
        <w:rPr>
          <w:rFonts w:ascii="Arial" w:cs="Arial" w:eastAsia="Arial" w:hAnsi="Arial"/>
          <w:sz w:val="24"/>
          <w:szCs w:val="24"/>
        </w:rPr>
        <w:t xml:space="preserve">абзац шестой изложить в следующей редакции:</w:t>
      </w:r>
    </w:p>
    <w:p>
      <w:pPr>
        <w:spacing w:after="60"/>
        <w:ind w:firstLine="567"/>
        <w:jc w:val="both"/>
      </w:pPr>
      <w:r>
        <w:rPr>
          <w:rFonts w:ascii="Arial" w:cs="Arial" w:eastAsia="Arial" w:hAnsi="Arial"/>
          <w:sz w:val="24"/>
          <w:szCs w:val="24"/>
        </w:rPr>
        <w:t xml:space="preserve">"имеется имущественное обеспечение, на которое может быть обращено взыскание и/или гарантия/поручительство, соответствующее требованиям пункта 30 Положения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60"/>
        <w:ind w:firstLine="567"/>
        <w:jc w:val="both"/>
      </w:pPr>
      <w:r>
        <w:rPr>
          <w:rFonts w:ascii="Arial" w:cs="Arial" w:eastAsia="Arial" w:hAnsi="Arial"/>
          <w:sz w:val="24"/>
          <w:szCs w:val="24"/>
        </w:rPr>
        <w:t xml:space="preserve">- в пункте 5.3.2.:</w:t>
      </w:r>
    </w:p>
    <w:p>
      <w:pPr>
        <w:spacing w:after="60"/>
        <w:ind w:firstLine="567"/>
        <w:jc w:val="both"/>
      </w:pPr>
      <w:r>
        <w:rPr>
          <w:rFonts w:ascii="Arial" w:cs="Arial" w:eastAsia="Arial" w:hAnsi="Arial"/>
          <w:sz w:val="24"/>
          <w:szCs w:val="24"/>
        </w:rPr>
        <w:t xml:space="preserve">абзац восьмой изложить в следующей редакции:</w:t>
      </w:r>
    </w:p>
    <w:p>
      <w:pPr>
        <w:spacing w:after="60"/>
        <w:ind w:firstLine="567"/>
        <w:jc w:val="both"/>
      </w:pPr>
      <w:r>
        <w:rPr>
          <w:rFonts w:ascii="Arial" w:cs="Arial" w:eastAsia="Arial" w:hAnsi="Arial"/>
          <w:sz w:val="24"/>
          <w:szCs w:val="24"/>
        </w:rPr>
        <w:t xml:space="preserve">"- предоставление активов субъектам оффшорных зон,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Внести в </w:t>
      </w:r>
      <w:hyperlink w:history="1" r:id="rId0afz40b7dx1pt0tx88d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w:t>
      </w:r>
    </w:p>
    <w:p>
      <w:pPr>
        <w:spacing w:after="60"/>
        <w:ind w:firstLine="567"/>
        <w:jc w:val="both"/>
      </w:pPr>
      <w:r>
        <w:rPr>
          <w:rFonts w:ascii="Arial" w:cs="Arial" w:eastAsia="Arial" w:hAnsi="Arial"/>
          <w:sz w:val="24"/>
          <w:szCs w:val="24"/>
        </w:rPr>
        <w:t xml:space="preserve">в </w:t>
      </w:r>
      <w:hyperlink w:history="1" r:id="rIdkul4b_ed22n5e4z81apr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банковском отчете", утвержденном вышеуказанным </w:t>
      </w:r>
      <w:hyperlink w:history="1" r:id="rIdtywg4h44i3welzbaszv0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Раздел 14</w:t>
      </w:r>
      <w:r>
        <w:rPr>
          <w:rFonts w:ascii="Arial" w:cs="Arial" w:eastAsia="Arial" w:hAnsi="Arial"/>
          <w:sz w:val="24"/>
          <w:szCs w:val="24"/>
        </w:rPr>
        <w:t xml:space="preserve"> изложить в следующей редакции:</w:t>
      </w:r>
    </w:p>
    <w:p>
      <w:pPr>
        <w:spacing w:after="200" w:before="200"/>
        <w:jc w:val="center"/>
      </w:pPr>
      <w:r>
        <w:rPr>
          <w:rFonts w:ascii="Arial" w:cs="Arial" w:eastAsia="Arial" w:hAnsi="Arial"/>
          <w:b/>
          <w:bCs/>
          <w:sz w:val="32"/>
          <w:szCs w:val="32"/>
        </w:rPr>
        <w:t xml:space="preserve">"РАЗДЕЛ 14
 СВЕДЕНИЯ О СОБЛЮДЕНИИ ЭКОНОМИЧЕСКИХ НОРМАТИВОВ И ТРЕБОВАНИЯ О ПОДДЕРЖКЕ ДОПОЛНИТЕЛЬНОГО ЗАПАСА КАПИТАЛА БАНКА (ИНДЕКС "БУФЕР КАПИТАЛА")</w:t>
      </w:r>
    </w:p>
    <w:p>
      <w:pPr>
        <w:spacing w:after="60"/>
        <w:ind w:firstLine="56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2"/>
        <w:gridCol w:w="1189"/>
        <w:gridCol w:w="2083"/>
        <w:gridCol w:w="1270"/>
        <w:gridCol w:w="1596"/>
        <w:gridCol w:w="1448"/>
      </w:tblGrid>
      <w:tr>
        <w:tc>
          <w:tcPr>
            <w:tcW w:type="dxa" w:w="25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 и требования о поддержке дополнительного запаса капитала банка (индекс "буфер капитала")</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2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 норматива</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w:t>
            </w:r>
          </w:p>
        </w:tc>
        <w:tc>
          <w:tcPr>
            <w:tcW w:type="dxa" w:w="1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w:t>
            </w:r>
          </w:p>
        </w:tc>
        <w:tc>
          <w:tcPr>
            <w:tcW w:type="dxa" w:w="14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от установленного норматива</w:t>
            </w:r>
          </w:p>
        </w:tc>
      </w:tr>
      <w:tr>
        <w:tc>
          <w:tcPr>
            <w:tcW w:type="dxa" w:w="25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К1.1</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К1.2</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 </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K1.3</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 30%</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К1.4</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 ----- ----- ЧСК</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К2.1</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 + П * Кор</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12%/14%**</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К2.2</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ЧРА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7,5%/9,5%**</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К2.3</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 ----- ----- ЧРА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6%/8%**</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К2.4</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СА + ЗО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К3.1</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 ----- ----- ОБ</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 (указать значение)</w:t>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 ликвидности в иностранной валюте</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w:t>
            </w:r>
          </w:p>
        </w:tc>
        <w:tc>
          <w:tcPr>
            <w:tcW w:type="dxa" w:w="2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ЛАВ ----- ----- ОБВ</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w:t>
      </w:r>
    </w:p>
    <w:p>
      <w:pPr>
        <w:spacing w:after="60"/>
        <w:ind w:firstLine="567"/>
        <w:jc w:val="both"/>
      </w:pPr>
      <w:r>
        <w:rPr>
          <w:rFonts w:ascii="Arial" w:cs="Arial" w:eastAsia="Arial" w:hAnsi="Arial"/>
          <w:sz w:val="24"/>
          <w:szCs w:val="24"/>
        </w:rPr>
        <w:t xml:space="preserve">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от 27 декабря 2019 года № 2019-П-12/68-1-(НПА);</w:t>
      </w:r>
    </w:p>
    <w:p>
      <w:pPr>
        <w:spacing w:after="60"/>
        <w:ind w:firstLine="567"/>
        <w:jc w:val="both"/>
      </w:pPr>
      <w:r>
        <w:rPr>
          <w:rFonts w:ascii="Arial" w:cs="Arial" w:eastAsia="Arial" w:hAnsi="Arial"/>
          <w:sz w:val="24"/>
          <w:szCs w:val="24"/>
        </w:rPr>
        <w:t xml:space="preserve">КПУ - Капитал Первого уровня;</w:t>
      </w:r>
    </w:p>
    <w:p>
      <w:pPr>
        <w:spacing w:after="60"/>
        <w:ind w:firstLine="567"/>
        <w:jc w:val="both"/>
      </w:pPr>
      <w:r>
        <w:rPr>
          <w:rFonts w:ascii="Arial" w:cs="Arial" w:eastAsia="Arial" w:hAnsi="Arial"/>
          <w:sz w:val="24"/>
          <w:szCs w:val="24"/>
        </w:rPr>
        <w:t xml:space="preserve">БКПУ - Базовый капитал Первого уровня;</w:t>
      </w:r>
    </w:p>
    <w:p>
      <w:pPr>
        <w:spacing w:after="60"/>
        <w:ind w:firstLine="567"/>
        <w:jc w:val="both"/>
      </w:pPr>
      <w:r>
        <w:rPr>
          <w:rFonts w:ascii="Arial" w:cs="Arial" w:eastAsia="Arial" w:hAnsi="Arial"/>
          <w:sz w:val="24"/>
          <w:szCs w:val="24"/>
        </w:rPr>
        <w:t xml:space="preserve">** - значение для системно значимых банков.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2"/>
        <w:gridCol w:w="2032"/>
        <w:gridCol w:w="999"/>
        <w:gridCol w:w="999"/>
        <w:gridCol w:w="999"/>
        <w:gridCol w:w="999"/>
        <w:gridCol w:w="999"/>
        <w:gridCol w:w="997"/>
      </w:tblGrid>
      <w:tr>
        <w:tc>
          <w:tcPr>
            <w:tcW w:type="dxa" w:w="21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Средние значения за отчетный период</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неделя</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неделя</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неделя</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неделя</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неделя</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неделя</w:t>
            </w:r>
          </w:p>
        </w:tc>
      </w:tr>
      <w:tr>
        <w:tc>
          <w:tcPr>
            <w:tcW w:type="dxa" w:w="2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 банка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К3 = ЛА / ОБ</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9"/>
        <w:gridCol w:w="2134"/>
        <w:gridCol w:w="813"/>
        <w:gridCol w:w="813"/>
        <w:gridCol w:w="813"/>
        <w:gridCol w:w="813"/>
        <w:gridCol w:w="813"/>
        <w:gridCol w:w="813"/>
      </w:tblGrid>
      <w:tr>
        <w:tc>
          <w:tcPr>
            <w:tcW w:type="dxa" w:w="31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Средние значения за отчетный период</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неделя</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неделя</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неделя</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неделя</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неделя</w:t>
            </w:r>
          </w:p>
        </w:tc>
        <w:tc>
          <w:tcPr>
            <w:tcW w:type="dxa" w:w="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неделя</w:t>
            </w:r>
          </w:p>
        </w:tc>
      </w:tr>
      <w:tr>
        <w:tc>
          <w:tcPr>
            <w:tcW w:type="dxa" w:w="3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 в иностранной валюте</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ОБВ - Обязательства банка в иностранной валюте</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 (ПЛ) = (ЛАВ / ОБВ) * 100</w:t>
            </w:r>
          </w:p>
        </w:tc>
        <w:tc>
          <w:tcPr>
            <w:tcW w:type="dxa" w:w="2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4. Расчет капитала, резервируемого для покрытия операционных рисков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2"/>
        <w:gridCol w:w="2056"/>
      </w:tblGrid>
      <w:tr>
        <w:tc>
          <w:tcPr>
            <w:tcW w:type="dxa" w:w="8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1</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2</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3</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8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8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w:t>
            </w:r>
          </w:p>
        </w:tc>
        <w:tc>
          <w:tcPr>
            <w:tcW w:type="dxa" w:w="2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разделе 15.5</w:t>
      </w:r>
      <w:r>
        <w:rPr>
          <w:rFonts w:ascii="Arial" w:cs="Arial" w:eastAsia="Arial" w:hAnsi="Arial"/>
          <w:sz w:val="24"/>
          <w:szCs w:val="24"/>
        </w:rPr>
        <w:t xml:space="preserve"> "Забалансовые обязательства":</w:t>
      </w:r>
    </w:p>
    <w:p>
      <w:pPr>
        <w:spacing w:after="60"/>
        <w:ind w:firstLine="567"/>
        <w:jc w:val="both"/>
      </w:pPr>
      <w:r>
        <w:rPr>
          <w:rFonts w:ascii="Arial" w:cs="Arial" w:eastAsia="Arial" w:hAnsi="Arial"/>
          <w:sz w:val="24"/>
          <w:szCs w:val="24"/>
        </w:rPr>
        <w:t xml:space="preserve">дополнить статьей 595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6855"/>
        <w:gridCol w:w="727"/>
        <w:gridCol w:w="727"/>
        <w:gridCol w:w="727"/>
        <w:gridCol w:w="623"/>
      </w:tblGrid>
      <w:tr>
        <w:tc>
          <w:tcPr>
            <w:tcW w:type="dxa" w:w="5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595</w:t>
            </w:r>
          </w:p>
        </w:tc>
        <w:tc>
          <w:tcPr>
            <w:tcW w:type="dxa" w:w="6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статью 600 изложить в следующей редакции:</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
        <w:gridCol w:w="6851"/>
        <w:gridCol w:w="723"/>
        <w:gridCol w:w="723"/>
        <w:gridCol w:w="723"/>
        <w:gridCol w:w="619"/>
      </w:tblGrid>
      <w:tr>
        <w:tc>
          <w:tcPr>
            <w:tcW w:type="dxa" w:w="5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забалансовых обязательств (сумма ст. 510-595)</w:t>
            </w:r>
          </w:p>
        </w:tc>
        <w:tc>
          <w:tcPr>
            <w:tcW w:type="dxa" w:w="72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Внести в </w:t>
      </w:r>
      <w:hyperlink w:history="1" r:id="rId_yiaj6xuqzdwx5kuu3g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ejo3n9mgifp99woilvrpk">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создания и/или приобретения дочерних или зависимых компаний коммерческими банками Кыргызской Республики" от 10 июня 2009 года № 26/3 следующее изменение:</w:t>
      </w:r>
    </w:p>
    <w:p>
      <w:pPr>
        <w:spacing w:after="60"/>
        <w:ind w:firstLine="567"/>
        <w:jc w:val="both"/>
      </w:pPr>
      <w:r>
        <w:rPr>
          <w:rFonts w:ascii="Arial" w:cs="Arial" w:eastAsia="Arial" w:hAnsi="Arial"/>
          <w:sz w:val="24"/>
          <w:szCs w:val="24"/>
        </w:rPr>
        <w:t xml:space="preserve">в </w:t>
      </w:r>
      <w:hyperlink w:history="1" r:id="rIdd6buvsbqdvcqh2j-bufk3">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создания и/или приобретения дочерних или зависимых компаний коммерческими банками Кыргызской Республики, утвержденных вышеуказанным </w:t>
      </w:r>
      <w:hyperlink w:history="1" r:id="rIdtfvv-p6ux9ht_nfohdrv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1 пункта 1.4 изложить в следующей редакции:</w:t>
      </w:r>
    </w:p>
    <w:p>
      <w:pPr>
        <w:spacing w:after="60"/>
        <w:ind w:firstLine="567"/>
        <w:jc w:val="both"/>
      </w:pPr>
      <w:r>
        <w:rPr>
          <w:rFonts w:ascii="Arial" w:cs="Arial" w:eastAsia="Arial" w:hAnsi="Arial"/>
          <w:sz w:val="24"/>
          <w:szCs w:val="24"/>
        </w:rPr>
        <w:t xml:space="preserve">"1) регистрация и/или осуществление деятельности таких компаний предполагается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60"/>
        <w:ind w:firstLine="567"/>
        <w:jc w:val="both"/>
      </w:pPr>
      <w:r>
        <w:rPr>
          <w:rFonts w:ascii="Arial" w:cs="Arial" w:eastAsia="Arial" w:hAnsi="Arial"/>
          <w:sz w:val="24"/>
          <w:szCs w:val="24"/>
        </w:rPr>
        <w:t xml:space="preserve">6. Внести в </w:t>
      </w:r>
      <w:hyperlink w:history="1" r:id="rIdb81mlijcgyat1hms9ni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w:t>
      </w:r>
    </w:p>
    <w:p>
      <w:pPr>
        <w:spacing w:after="60"/>
        <w:ind w:firstLine="567"/>
        <w:jc w:val="both"/>
      </w:pPr>
      <w:r>
        <w:rPr>
          <w:rFonts w:ascii="Arial" w:cs="Arial" w:eastAsia="Arial" w:hAnsi="Arial"/>
          <w:sz w:val="24"/>
          <w:szCs w:val="24"/>
        </w:rPr>
        <w:t xml:space="preserve">в </w:t>
      </w:r>
      <w:hyperlink w:history="1" r:id="rIdho5lpi5ecww0hgy7ubl2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w:history="1" r:id="rIdafrlovrroll_-7uxcqks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9 после первого абзаца дополнить абзацем вторым следующего содержания:</w:t>
      </w:r>
    </w:p>
    <w:p>
      <w:pPr>
        <w:spacing w:after="60"/>
        <w:ind w:firstLine="567"/>
        <w:jc w:val="both"/>
      </w:pPr>
      <w:r>
        <w:rPr>
          <w:rFonts w:ascii="Arial" w:cs="Arial" w:eastAsia="Arial" w:hAnsi="Arial"/>
          <w:sz w:val="24"/>
          <w:szCs w:val="24"/>
        </w:rPr>
        <w:t xml:space="preserve">"При этом внутренние документы банка должны содержать процедуры оценки деятельности заемщика - юридического лица на предмет ведения им действительной деятельности, а именно осуществления и предоставления на рынке определенных товаров/услуг.";</w:t>
      </w:r>
    </w:p>
    <w:p>
      <w:pPr>
        <w:spacing w:after="60"/>
        <w:ind w:firstLine="567"/>
        <w:jc w:val="both"/>
      </w:pPr>
      <w:r>
        <w:rPr>
          <w:rFonts w:ascii="Arial" w:cs="Arial" w:eastAsia="Arial" w:hAnsi="Arial"/>
          <w:sz w:val="24"/>
          <w:szCs w:val="24"/>
        </w:rPr>
        <w:t xml:space="preserve">- пункт 34-2 изложить в следующей редакции:</w:t>
      </w:r>
    </w:p>
    <w:p>
      <w:pPr>
        <w:spacing w:after="60"/>
        <w:ind w:firstLine="567"/>
        <w:jc w:val="both"/>
      </w:pPr>
      <w:r>
        <w:rPr>
          <w:rFonts w:ascii="Arial" w:cs="Arial" w:eastAsia="Arial" w:hAnsi="Arial"/>
          <w:sz w:val="24"/>
          <w:szCs w:val="24"/>
        </w:rPr>
        <w:t xml:space="preserve">"34-2. Банк не может выдавать ипотечные и потребительские кредиты в иностранной валюте заемщику - физическому лицу, за исключением лиц, осуществляющих предпринимательскую деятельность на основе свидетельства или патента, а также овердрафтов по платежным картам в рамках зарплатных проектов и кредитных лимитов на платежные карты в иностранной валюте под залог депозита. Не допускается индексирование платежей по данным кредитам в привязке к валюте, отличной от валюты кредитного договора.";</w:t>
      </w:r>
    </w:p>
    <w:p>
      <w:pPr>
        <w:spacing w:after="60"/>
        <w:ind w:firstLine="567"/>
        <w:jc w:val="both"/>
      </w:pPr>
      <w:r>
        <w:rPr>
          <w:rFonts w:ascii="Arial" w:cs="Arial" w:eastAsia="Arial" w:hAnsi="Arial"/>
          <w:sz w:val="24"/>
          <w:szCs w:val="24"/>
        </w:rPr>
        <w:t xml:space="preserve">- пункт 41 изложить в следующей редакции:</w:t>
      </w:r>
    </w:p>
    <w:p>
      <w:pPr>
        <w:spacing w:after="60"/>
        <w:ind w:firstLine="567"/>
        <w:jc w:val="both"/>
      </w:pPr>
      <w:r>
        <w:rPr>
          <w:rFonts w:ascii="Arial" w:cs="Arial" w:eastAsia="Arial" w:hAnsi="Arial"/>
          <w:sz w:val="24"/>
          <w:szCs w:val="24"/>
        </w:rPr>
        <w:t xml:space="preserve">"41. В кредитном договоре как минимум указываются:</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 период действия договора;</w:t>
      </w:r>
    </w:p>
    <w:p>
      <w:pPr>
        <w:spacing w:after="60"/>
        <w:ind w:firstLine="567"/>
        <w:jc w:val="both"/>
      </w:pPr>
      <w:r>
        <w:rPr>
          <w:rFonts w:ascii="Arial" w:cs="Arial" w:eastAsia="Arial" w:hAnsi="Arial"/>
          <w:sz w:val="24"/>
          <w:szCs w:val="24"/>
        </w:rPr>
        <w:t xml:space="preserve">- основные условия кредита - сумма, срок погашения, обеспечение, процентная ставка в годовом исчислении, форма выдачи кредита: наличная (через кассу) и/или безналичная (в том числе на счет клиента, посредством использования банковских платежных карт и др.);</w:t>
      </w:r>
    </w:p>
    <w:p>
      <w:pPr>
        <w:spacing w:after="60"/>
        <w:ind w:firstLine="567"/>
        <w:jc w:val="both"/>
      </w:pPr>
      <w:r>
        <w:rPr>
          <w:rFonts w:ascii="Arial" w:cs="Arial" w:eastAsia="Arial" w:hAnsi="Arial"/>
          <w:sz w:val="24"/>
          <w:szCs w:val="24"/>
        </w:rPr>
        <w:t xml:space="preserve">- целевое назначение кредита;</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sz w:val="24"/>
          <w:szCs w:val="24"/>
        </w:rPr>
        <w:t xml:space="preserve">- право клиента на досрочное погашение кредита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календарных дней до дня такого возврата. При этом указанное условие устанавливает срок, по истечении которого (после направления уведомления) заемщик может произвести досрочное погашение кредита. В уведомлении может быть указан иной срок досрочного погашения при условии направления уведомления в банк не менее чем за 30 (тридцать) календарных дней до дня досрочного погашения. Досрочное погашение одного участника ГСО возможно при наличии письменного согласия участников ГСО;</w:t>
      </w:r>
    </w:p>
    <w:p>
      <w:pPr>
        <w:spacing w:after="60"/>
        <w:ind w:firstLine="567"/>
        <w:jc w:val="both"/>
      </w:pPr>
      <w:r>
        <w:rPr>
          <w:rFonts w:ascii="Arial" w:cs="Arial" w:eastAsia="Arial" w:hAnsi="Arial"/>
          <w:sz w:val="24"/>
          <w:szCs w:val="24"/>
        </w:rPr>
        <w:t xml:space="preserve">- условия предоставления информации о клиенте в кредитное бюро, а также иные случаи использования данных о клиенте в соответствии с законодательством;</w:t>
      </w:r>
    </w:p>
    <w:p>
      <w:pPr>
        <w:spacing w:after="60"/>
        <w:ind w:firstLine="567"/>
        <w:jc w:val="both"/>
      </w:pPr>
      <w:r>
        <w:rPr>
          <w:rFonts w:ascii="Arial" w:cs="Arial" w:eastAsia="Arial" w:hAnsi="Arial"/>
          <w:sz w:val="24"/>
          <w:szCs w:val="24"/>
        </w:rPr>
        <w:t xml:space="preserve">- санкции за нарушение какой-либо стороной своих обязательств, случаи расторжения кредитного договора.</w:t>
      </w:r>
    </w:p>
    <w:p>
      <w:pPr>
        <w:spacing w:after="60"/>
        <w:ind w:firstLine="567"/>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кредит в своей части, может быть освобожден от солидарной ответственности.".</w:t>
      </w:r>
    </w:p>
    <w:p>
      <w:pPr>
        <w:spacing w:after="60"/>
        <w:ind w:firstLine="567"/>
        <w:jc w:val="both"/>
      </w:pPr>
      <w:r>
        <w:rPr>
          <w:rFonts w:ascii="Arial" w:cs="Arial" w:eastAsia="Arial" w:hAnsi="Arial"/>
          <w:sz w:val="24"/>
          <w:szCs w:val="24"/>
        </w:rPr>
        <w:t xml:space="preserve">7. Внести в </w:t>
      </w:r>
      <w:hyperlink w:history="1" r:id="rIdvpyk2w2jxas6wtj26cm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cpljmtr4nnpsizuwccjr">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следующие изменения:</w:t>
      </w:r>
    </w:p>
    <w:p>
      <w:pPr>
        <w:spacing w:after="60"/>
        <w:ind w:firstLine="567"/>
        <w:jc w:val="both"/>
      </w:pPr>
      <w:r>
        <w:rPr>
          <w:rFonts w:ascii="Arial" w:cs="Arial" w:eastAsia="Arial" w:hAnsi="Arial"/>
          <w:sz w:val="24"/>
          <w:szCs w:val="24"/>
        </w:rPr>
        <w:t xml:space="preserve">в </w:t>
      </w:r>
      <w:hyperlink w:history="1" r:id="rIdwnyxoyjnoseym2oh18sfg">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w:t>
      </w:r>
      <w:hyperlink w:history="1" r:id="rIdwjalep_se3zizr7xsjr7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7:</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"Банки/ФКО должны в обязательном порядке иметь внутренние нормативные документы, регламентирующие основные принципы работы с различными видами залогового обеспечения по кредиту, а также раскрывающие основные риски, связанные с соответствующими видами обеспечения по кредиту.";</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активы, зарегистрированные и/или находящиеся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Внести в </w:t>
      </w:r>
      <w:hyperlink w:history="1" r:id="rIdae9ypma3bnarwp7uiaz9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работе с банковскими счетами, счетами по банковским вкладам (депозитам)" от 31 октября 2012 года № 41/12 следующие изменения:</w:t>
      </w:r>
    </w:p>
    <w:p>
      <w:pPr>
        <w:spacing w:after="60"/>
        <w:ind w:firstLine="567"/>
        <w:jc w:val="both"/>
      </w:pPr>
      <w:r>
        <w:rPr>
          <w:rFonts w:ascii="Arial" w:cs="Arial" w:eastAsia="Arial" w:hAnsi="Arial"/>
          <w:sz w:val="24"/>
          <w:szCs w:val="24"/>
        </w:rPr>
        <w:t xml:space="preserve">в </w:t>
      </w:r>
      <w:hyperlink w:history="1" r:id="rIdi_44pqesecwywfvms4m_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утвержденной вышеуказанным </w:t>
      </w:r>
      <w:hyperlink w:history="1" r:id="rId7y3krgtlhlntsqssykvo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"Для предотвращения проведения операций, связанных с финансированием террористической деятельности и легализацией (отмыванием) преступных доходов, банки обязаны разработать политики и процедуры внутреннего контроля, соответствующие сложности и масштабам деятельности банка, в том числе по операциям (сделкам) с удаленного доступа без непосредственного контакта с клиентом, и подлежащие обязательному и полному соблюдению.";</w:t>
      </w:r>
    </w:p>
    <w:p>
      <w:pPr>
        <w:spacing w:after="60"/>
        <w:ind w:firstLine="567"/>
        <w:jc w:val="both"/>
      </w:pPr>
      <w:r>
        <w:rPr>
          <w:rFonts w:ascii="Arial" w:cs="Arial" w:eastAsia="Arial" w:hAnsi="Arial"/>
          <w:sz w:val="24"/>
          <w:szCs w:val="24"/>
        </w:rPr>
        <w:t xml:space="preserve">- в пункте 11:</w:t>
      </w:r>
    </w:p>
    <w:p>
      <w:pPr>
        <w:spacing w:after="60"/>
        <w:ind w:firstLine="567"/>
        <w:jc w:val="both"/>
      </w:pPr>
      <w:r>
        <w:rPr>
          <w:rFonts w:ascii="Arial" w:cs="Arial" w:eastAsia="Arial" w:hAnsi="Arial"/>
          <w:sz w:val="24"/>
          <w:szCs w:val="24"/>
        </w:rPr>
        <w:t xml:space="preserve">дополнить абзацем двенадцатым следующего содержания:</w:t>
      </w:r>
    </w:p>
    <w:p>
      <w:pPr>
        <w:spacing w:after="60"/>
        <w:ind w:firstLine="567"/>
        <w:jc w:val="both"/>
      </w:pPr>
      <w:r>
        <w:rPr>
          <w:rFonts w:ascii="Arial" w:cs="Arial" w:eastAsia="Arial" w:hAnsi="Arial"/>
          <w:sz w:val="24"/>
          <w:szCs w:val="24"/>
        </w:rPr>
        <w:t xml:space="preserve">"Кайрылман понимается в том значении, которое указано в </w:t>
      </w:r>
      <w:hyperlink w:history="1" r:id="rIdaqtdeyf22akmbyzo99je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статуса кайрылмана, утвержденном </w:t>
      </w:r>
      <w:hyperlink w:history="1" r:id="rIdczefajdrddrdryjm9sws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2015 года № 402.";</w:t>
      </w:r>
    </w:p>
    <w:p>
      <w:pPr>
        <w:spacing w:after="60"/>
        <w:ind w:firstLine="567"/>
        <w:jc w:val="both"/>
      </w:pPr>
      <w:r>
        <w:rPr>
          <w:rFonts w:ascii="Arial" w:cs="Arial" w:eastAsia="Arial" w:hAnsi="Arial"/>
          <w:sz w:val="24"/>
          <w:szCs w:val="24"/>
        </w:rPr>
        <w:t xml:space="preserve">абзац шестнадцатый изложить в следующей редакции:</w:t>
      </w:r>
    </w:p>
    <w:p>
      <w:pPr>
        <w:spacing w:after="60"/>
        <w:ind w:firstLine="567"/>
        <w:jc w:val="both"/>
      </w:pPr>
      <w:r>
        <w:rPr>
          <w:rFonts w:ascii="Arial" w:cs="Arial" w:eastAsia="Arial" w:hAnsi="Arial"/>
          <w:sz w:val="24"/>
          <w:szCs w:val="24"/>
        </w:rPr>
        <w:t xml:space="preserve">"Орган финансовой разведки - Государственная служба финансовой разведки при Кабинете министров Кыргызской Республики.";</w:t>
      </w:r>
    </w:p>
    <w:p>
      <w:pPr>
        <w:spacing w:after="60"/>
        <w:ind w:firstLine="567"/>
        <w:jc w:val="both"/>
      </w:pPr>
      <w:r>
        <w:rPr>
          <w:rFonts w:ascii="Arial" w:cs="Arial" w:eastAsia="Arial" w:hAnsi="Arial"/>
          <w:sz w:val="24"/>
          <w:szCs w:val="24"/>
        </w:rPr>
        <w:t xml:space="preserve">дополнить абзацем двадцатым следующего содержания:</w:t>
      </w:r>
    </w:p>
    <w:p>
      <w:pPr>
        <w:spacing w:after="60"/>
        <w:ind w:firstLine="567"/>
        <w:jc w:val="both"/>
      </w:pPr>
      <w:r>
        <w:rPr>
          <w:rFonts w:ascii="Arial" w:cs="Arial" w:eastAsia="Arial" w:hAnsi="Arial"/>
          <w:sz w:val="24"/>
          <w:szCs w:val="24"/>
        </w:rPr>
        <w:t xml:space="preserve">"Удостоверение кайрылмана понимается в том значении, которое указано в </w:t>
      </w:r>
      <w:hyperlink w:history="1" r:id="rId2glmuolsvkpxqz8gie08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статуса кайрылмана, утвержденном </w:t>
      </w:r>
      <w:hyperlink w:history="1" r:id="rIdtrowzgxckfnkn8rqnryr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2015 года № 402.";</w:t>
      </w:r>
    </w:p>
    <w:p>
      <w:pPr>
        <w:spacing w:after="60"/>
        <w:ind w:firstLine="567"/>
        <w:jc w:val="both"/>
      </w:pPr>
      <w:r>
        <w:rPr>
          <w:rFonts w:ascii="Arial" w:cs="Arial" w:eastAsia="Arial" w:hAnsi="Arial"/>
          <w:sz w:val="24"/>
          <w:szCs w:val="24"/>
        </w:rPr>
        <w:t xml:space="preserve">- абзац третий пункта 22 изложить в следующей редакции:</w:t>
      </w:r>
    </w:p>
    <w:p>
      <w:pPr>
        <w:spacing w:after="60"/>
        <w:ind w:firstLine="567"/>
        <w:jc w:val="both"/>
      </w:pPr>
      <w:r>
        <w:rPr>
          <w:rFonts w:ascii="Arial" w:cs="Arial" w:eastAsia="Arial" w:hAnsi="Arial"/>
          <w:sz w:val="24"/>
          <w:szCs w:val="24"/>
        </w:rPr>
        <w:t xml:space="preserve">"- представлены недостоверные документы.";</w:t>
      </w:r>
    </w:p>
    <w:p>
      <w:pPr>
        <w:spacing w:after="60"/>
        <w:ind w:firstLine="567"/>
        <w:jc w:val="both"/>
      </w:pPr>
      <w:r>
        <w:rPr>
          <w:rFonts w:ascii="Arial" w:cs="Arial" w:eastAsia="Arial" w:hAnsi="Arial"/>
          <w:sz w:val="24"/>
          <w:szCs w:val="24"/>
        </w:rPr>
        <w:t xml:space="preserve">- пункт 22-4 изложить в следующей редакции:</w:t>
      </w:r>
    </w:p>
    <w:p>
      <w:pPr>
        <w:spacing w:after="60"/>
        <w:ind w:firstLine="567"/>
        <w:jc w:val="both"/>
      </w:pPr>
      <w:r>
        <w:rPr>
          <w:rFonts w:ascii="Arial" w:cs="Arial" w:eastAsia="Arial" w:hAnsi="Arial"/>
          <w:sz w:val="24"/>
          <w:szCs w:val="24"/>
        </w:rPr>
        <w:t xml:space="preserve">"22-4. Банк обязан проверить идентификационные данные клиента, уполномоченного представителя клиента, бенефициарного владельца и контрагента клиента на наличие или отсутствие в Перечне лиц, групп, организаций, в отношении которых имеются сведения об их участии в легализации (отмывании) преступных доходов. Данная проверка проводится до установления и в ходе осуществления деловых отношений с клиентом и (или) до осуществления любой операции (сделки) клиента.</w:t>
      </w:r>
    </w:p>
    <w:p>
      <w:pPr>
        <w:spacing w:after="60"/>
        <w:ind w:firstLine="567"/>
        <w:jc w:val="both"/>
      </w:pPr>
      <w:r>
        <w:rPr>
          <w:rFonts w:ascii="Arial" w:cs="Arial" w:eastAsia="Arial" w:hAnsi="Arial"/>
          <w:sz w:val="24"/>
          <w:szCs w:val="24"/>
        </w:rPr>
        <w:t xml:space="preserve">Если в отношении клиента или бенефициарного владельца имеются сведения об участии в легализации (отмывании) преступных доходов, банк обязан незамедлительно приостановить операцию (сделку), совершаемую клиентом и сообщить об этом в орган финансовой разведки в течение 3 (трех) часов с момента приостановления операции (сделки).</w:t>
      </w:r>
    </w:p>
    <w:p>
      <w:pPr>
        <w:spacing w:after="60"/>
        <w:ind w:firstLine="567"/>
        <w:jc w:val="both"/>
      </w:pPr>
      <w:r>
        <w:rPr>
          <w:rFonts w:ascii="Arial" w:cs="Arial" w:eastAsia="Arial" w:hAnsi="Arial"/>
          <w:sz w:val="24"/>
          <w:szCs w:val="24"/>
        </w:rPr>
        <w:t xml:space="preserve">Операции (сделки) приостанавливаются до принятия решения о наложении ареста на имущество, принятого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непринятия решения о наложении ареста на имущество приостановленная операция (сделка) проводится в установленном порядке и на основе распоряжения органа финансовой разведки.";</w:t>
      </w:r>
    </w:p>
    <w:p>
      <w:pPr>
        <w:spacing w:after="60"/>
        <w:ind w:firstLine="567"/>
        <w:jc w:val="both"/>
      </w:pPr>
      <w:r>
        <w:rPr>
          <w:rFonts w:ascii="Arial" w:cs="Arial" w:eastAsia="Arial" w:hAnsi="Arial"/>
          <w:sz w:val="24"/>
          <w:szCs w:val="24"/>
        </w:rPr>
        <w:t xml:space="preserve">- в пункте 43:</w:t>
      </w:r>
    </w:p>
    <w:p>
      <w:pPr>
        <w:spacing w:after="60"/>
        <w:ind w:firstLine="567"/>
        <w:jc w:val="both"/>
      </w:pPr>
      <w:r>
        <w:rPr>
          <w:rFonts w:ascii="Arial" w:cs="Arial" w:eastAsia="Arial" w:hAnsi="Arial"/>
          <w:sz w:val="24"/>
          <w:szCs w:val="24"/>
        </w:rPr>
        <w:t xml:space="preserve">подпункт 1 изложить в следующей редакции:</w:t>
      </w:r>
    </w:p>
    <w:p>
      <w:pPr>
        <w:spacing w:after="60"/>
        <w:ind w:firstLine="567"/>
        <w:jc w:val="both"/>
      </w:pPr>
      <w:r>
        <w:rPr>
          <w:rFonts w:ascii="Arial" w:cs="Arial" w:eastAsia="Arial" w:hAnsi="Arial"/>
          <w:sz w:val="24"/>
          <w:szCs w:val="24"/>
        </w:rPr>
        <w:t xml:space="preserve">"1) заявление на открытие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60"/>
        <w:ind w:firstLine="567"/>
        <w:jc w:val="both"/>
      </w:pPr>
      <w:r>
        <w:rPr>
          <w:rFonts w:ascii="Arial" w:cs="Arial" w:eastAsia="Arial" w:hAnsi="Arial"/>
          <w:sz w:val="24"/>
          <w:szCs w:val="24"/>
        </w:rPr>
        <w:t xml:space="preserve">- полное наименование, а также сокращенное наименование и наименование на иностранном языке в случаях, если таковые имеются;</w:t>
      </w:r>
    </w:p>
    <w:p>
      <w:pPr>
        <w:spacing w:after="60"/>
        <w:ind w:firstLine="567"/>
        <w:jc w:val="both"/>
      </w:pPr>
      <w:r>
        <w:rPr>
          <w:rFonts w:ascii="Arial" w:cs="Arial" w:eastAsia="Arial" w:hAnsi="Arial"/>
          <w:sz w:val="24"/>
          <w:szCs w:val="24"/>
        </w:rPr>
        <w:t xml:space="preserve">- сведения о государственной регистрации: дата, номер, наименование регистрирующего органа, место регистрации;</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 коды плательщика в соответствии с Общереспубликанским классификатором предприятий и организаций, разработанным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 место нахождения;</w:t>
      </w:r>
    </w:p>
    <w:p>
      <w:pPr>
        <w:spacing w:after="60"/>
        <w:ind w:firstLine="567"/>
        <w:jc w:val="both"/>
      </w:pPr>
      <w:r>
        <w:rPr>
          <w:rFonts w:ascii="Arial" w:cs="Arial" w:eastAsia="Arial" w:hAnsi="Arial"/>
          <w:sz w:val="24"/>
          <w:szCs w:val="24"/>
        </w:rPr>
        <w:t xml:space="preserve">- почтовый адрес;</w:t>
      </w:r>
    </w:p>
    <w:p>
      <w:pPr>
        <w:spacing w:after="60"/>
        <w:ind w:firstLine="567"/>
        <w:jc w:val="both"/>
      </w:pPr>
      <w:r>
        <w:rPr>
          <w:rFonts w:ascii="Arial" w:cs="Arial" w:eastAsia="Arial" w:hAnsi="Arial"/>
          <w:sz w:val="24"/>
          <w:szCs w:val="24"/>
        </w:rPr>
        <w:t xml:space="preserve">- номера контактных телефонов и факсов;</w:t>
      </w:r>
    </w:p>
    <w:p>
      <w:pPr>
        <w:spacing w:after="60"/>
        <w:ind w:firstLine="567"/>
        <w:jc w:val="both"/>
      </w:pPr>
      <w:r>
        <w:rPr>
          <w:rFonts w:ascii="Arial" w:cs="Arial" w:eastAsia="Arial" w:hAnsi="Arial"/>
          <w:sz w:val="24"/>
          <w:szCs w:val="24"/>
        </w:rPr>
        <w:t xml:space="preserve">- вид деятельности;</w:t>
      </w:r>
    </w:p>
    <w:p>
      <w:pPr>
        <w:spacing w:after="60"/>
        <w:ind w:firstLine="567"/>
        <w:jc w:val="both"/>
      </w:pPr>
      <w:r>
        <w:rPr>
          <w:rFonts w:ascii="Arial" w:cs="Arial" w:eastAsia="Arial" w:hAnsi="Arial"/>
          <w:sz w:val="24"/>
          <w:szCs w:val="24"/>
        </w:rPr>
        <w:t xml:space="preserve">- цель и предполагаемый характер деловых отношений с банком;</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 пункт 53 изложить в следующей редакции:</w:t>
      </w:r>
    </w:p>
    <w:p>
      <w:pPr>
        <w:spacing w:after="60"/>
        <w:ind w:firstLine="567"/>
        <w:jc w:val="both"/>
      </w:pPr>
      <w:r>
        <w:rPr>
          <w:rFonts w:ascii="Arial" w:cs="Arial" w:eastAsia="Arial" w:hAnsi="Arial"/>
          <w:sz w:val="24"/>
          <w:szCs w:val="24"/>
        </w:rPr>
        <w:t xml:space="preserve">"53.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и уведомлением клиента за один календарный месяц до закрытия счета в случае, если:</w:t>
      </w:r>
    </w:p>
    <w:p>
      <w:pPr>
        <w:spacing w:after="60"/>
        <w:ind w:firstLine="567"/>
        <w:jc w:val="both"/>
      </w:pPr>
      <w:r>
        <w:rPr>
          <w:rFonts w:ascii="Arial" w:cs="Arial" w:eastAsia="Arial" w:hAnsi="Arial"/>
          <w:sz w:val="24"/>
          <w:szCs w:val="24"/>
        </w:rPr>
        <w:t xml:space="preserve">- сумма денежных средств, находящихся на счете клиента, окажется ниже минимального размера, предусмотренного договором банковского счета;</w:t>
      </w:r>
    </w:p>
    <w:p>
      <w:pPr>
        <w:spacing w:after="60"/>
        <w:ind w:firstLine="567"/>
        <w:jc w:val="both"/>
      </w:pPr>
      <w:r>
        <w:rPr>
          <w:rFonts w:ascii="Arial" w:cs="Arial" w:eastAsia="Arial" w:hAnsi="Arial"/>
          <w:sz w:val="24"/>
          <w:szCs w:val="24"/>
        </w:rPr>
        <w:t xml:space="preserve">-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w:t>
      </w:r>
    </w:p>
    <w:p>
      <w:pPr>
        <w:spacing w:after="60"/>
        <w:ind w:firstLine="567"/>
        <w:jc w:val="both"/>
      </w:pPr>
      <w:r>
        <w:rPr>
          <w:rFonts w:ascii="Arial" w:cs="Arial" w:eastAsia="Arial" w:hAnsi="Arial"/>
          <w:sz w:val="24"/>
          <w:szCs w:val="24"/>
        </w:rPr>
        <w:t xml:space="preserve">- </w:t>
      </w:r>
      <w:hyperlink w:history="1" r:id="rIdso-h3hoifskher-j8oyrd">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дополнить пунктом 53-1 следующего содержания:</w:t>
      </w:r>
    </w:p>
    <w:p>
      <w:pPr>
        <w:spacing w:after="60"/>
        <w:ind w:firstLine="567"/>
        <w:jc w:val="both"/>
      </w:pPr>
      <w:r>
        <w:rPr>
          <w:rFonts w:ascii="Arial" w:cs="Arial" w:eastAsia="Arial" w:hAnsi="Arial"/>
          <w:sz w:val="24"/>
          <w:szCs w:val="24"/>
        </w:rPr>
        <w:t xml:space="preserve">"53-1.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если:</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идентификации и верификации клиента и бенефициарного владельца, а также других мер надлежащей проверки клиента, проведения операций по счету;</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проведения операций по счету, подтверждающие экономическую целесообразность совершаемой операции и действительность осуществления клиентом реальной экономической деятельности;</w:t>
      </w:r>
    </w:p>
    <w:p>
      <w:pPr>
        <w:spacing w:after="60"/>
        <w:ind w:firstLine="567"/>
        <w:jc w:val="both"/>
      </w:pPr>
      <w:r>
        <w:rPr>
          <w:rFonts w:ascii="Arial" w:cs="Arial" w:eastAsia="Arial" w:hAnsi="Arial"/>
          <w:sz w:val="24"/>
          <w:szCs w:val="24"/>
        </w:rPr>
        <w:t xml:space="preserve">- представлены недостоверные документы.";</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1</w:t>
      </w:r>
      <w:r>
        <w:rPr>
          <w:rFonts w:ascii="Arial" w:cs="Arial" w:eastAsia="Arial" w:hAnsi="Arial"/>
          <w:sz w:val="24"/>
          <w:szCs w:val="24"/>
        </w:rPr>
        <w:t xml:space="preserve"> к Инструкции:</w:t>
      </w:r>
    </w:p>
    <w:p>
      <w:pPr>
        <w:spacing w:after="60"/>
        <w:ind w:firstLine="567"/>
        <w:jc w:val="both"/>
      </w:pPr>
      <w:r>
        <w:rPr>
          <w:rFonts w:ascii="Arial" w:cs="Arial" w:eastAsia="Arial" w:hAnsi="Arial"/>
          <w:sz w:val="24"/>
          <w:szCs w:val="24"/>
        </w:rPr>
        <w:t xml:space="preserve">в пункте 5:</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"Для удостоверения личности физических лиц банк использует один из следующих документов:";</w:t>
      </w:r>
    </w:p>
    <w:p>
      <w:pPr>
        <w:spacing w:after="60"/>
        <w:ind w:firstLine="567"/>
        <w:jc w:val="both"/>
      </w:pPr>
      <w:r>
        <w:rPr>
          <w:rFonts w:ascii="Arial" w:cs="Arial" w:eastAsia="Arial" w:hAnsi="Arial"/>
          <w:sz w:val="24"/>
          <w:szCs w:val="24"/>
        </w:rPr>
        <w:t xml:space="preserve">дополнить подпунктом 5 следующего содержания:</w:t>
      </w:r>
    </w:p>
    <w:p>
      <w:pPr>
        <w:spacing w:after="60"/>
        <w:ind w:firstLine="567"/>
        <w:jc w:val="both"/>
      </w:pPr>
      <w:r>
        <w:rPr>
          <w:rFonts w:ascii="Arial" w:cs="Arial" w:eastAsia="Arial" w:hAnsi="Arial"/>
          <w:sz w:val="24"/>
          <w:szCs w:val="24"/>
        </w:rPr>
        <w:t xml:space="preserve">"5) для кайрылманов - удостоверение кайрылмана.";</w:t>
      </w:r>
    </w:p>
    <w:p>
      <w:pPr>
        <w:spacing w:after="60"/>
        <w:ind w:firstLine="567"/>
        <w:jc w:val="both"/>
      </w:pPr>
      <w:r>
        <w:rPr>
          <w:rFonts w:ascii="Arial" w:cs="Arial" w:eastAsia="Arial" w:hAnsi="Arial"/>
          <w:sz w:val="24"/>
          <w:szCs w:val="24"/>
        </w:rPr>
        <w:t xml:space="preserve">пункт 12 дополнить абзацами третьим и четвертым следующего содержания:</w:t>
      </w:r>
    </w:p>
    <w:p>
      <w:pPr>
        <w:spacing w:after="60"/>
        <w:ind w:firstLine="567"/>
        <w:jc w:val="both"/>
      </w:pPr>
      <w:r>
        <w:rPr>
          <w:rFonts w:ascii="Arial" w:cs="Arial" w:eastAsia="Arial" w:hAnsi="Arial"/>
          <w:sz w:val="24"/>
          <w:szCs w:val="24"/>
        </w:rPr>
        <w:t xml:space="preserve">"Банку необходимо установить разумные сроки представления клиентом дополнительных документов, в том числе информации о контрагенте, но не более 10 (десяти) рабочих дней, в целях определения экономической целесообразности и законности проводимых операций, а также источника происхождения денежных средств клиента и бенефициарного владельца. Если клиент не представил запрашиваемые банком документы в установленные сроки, банк должен отказать клиенту в проведении операции по счету.</w:t>
      </w:r>
    </w:p>
    <w:p>
      <w:pPr>
        <w:spacing w:after="60"/>
        <w:ind w:firstLine="567"/>
        <w:jc w:val="both"/>
      </w:pPr>
      <w:r>
        <w:rPr>
          <w:rFonts w:ascii="Arial" w:cs="Arial" w:eastAsia="Arial" w:hAnsi="Arial"/>
          <w:sz w:val="24"/>
          <w:szCs w:val="24"/>
        </w:rPr>
        <w:t xml:space="preserve">Если операции клиента признаны подозрительными и/или клиенту присвоен высокий уровень риска, на время ожидания запрошенных документов банк не вправе проводить какие-либо операции по счету клиента до представления клиентом соответствующих документов.";</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3</w:t>
      </w:r>
      <w:r>
        <w:rPr>
          <w:rFonts w:ascii="Arial" w:cs="Arial" w:eastAsia="Arial" w:hAnsi="Arial"/>
          <w:sz w:val="24"/>
          <w:szCs w:val="24"/>
        </w:rPr>
        <w:t xml:space="preserve"> к Инструкции:</w:t>
      </w:r>
    </w:p>
    <w:p>
      <w:pPr>
        <w:spacing w:after="60"/>
        <w:ind w:firstLine="567"/>
        <w:jc w:val="both"/>
      </w:pPr>
      <w:r>
        <w:rPr>
          <w:rFonts w:ascii="Arial" w:cs="Arial" w:eastAsia="Arial" w:hAnsi="Arial"/>
          <w:sz w:val="24"/>
          <w:szCs w:val="24"/>
        </w:rPr>
        <w:t xml:space="preserve">в пункте 3:</w:t>
      </w:r>
    </w:p>
    <w:p>
      <w:pPr>
        <w:spacing w:after="60"/>
        <w:ind w:firstLine="567"/>
        <w:jc w:val="both"/>
      </w:pPr>
      <w:r>
        <w:rPr>
          <w:rFonts w:ascii="Arial" w:cs="Arial" w:eastAsia="Arial" w:hAnsi="Arial"/>
          <w:sz w:val="24"/>
          <w:szCs w:val="24"/>
        </w:rPr>
        <w:t xml:space="preserve">предложение второе абзаца первого изложить в следующей редакции:</w:t>
      </w:r>
    </w:p>
    <w:p>
      <w:pPr>
        <w:spacing w:after="60"/>
        <w:ind w:firstLine="567"/>
        <w:jc w:val="both"/>
      </w:pPr>
      <w:r>
        <w:rPr>
          <w:rFonts w:ascii="Arial" w:cs="Arial" w:eastAsia="Arial" w:hAnsi="Arial"/>
          <w:sz w:val="24"/>
          <w:szCs w:val="24"/>
        </w:rPr>
        <w:t xml:space="preserve">"Перечень оффшорных зон определяется органом финансовой разведки.".</w:t>
      </w:r>
    </w:p>
    <w:p>
      <w:pPr>
        <w:spacing w:after="60"/>
        <w:ind w:firstLine="567"/>
        <w:jc w:val="both"/>
      </w:pPr>
      <w:r>
        <w:rPr>
          <w:rFonts w:ascii="Arial" w:cs="Arial" w:eastAsia="Arial" w:hAnsi="Arial"/>
          <w:sz w:val="24"/>
          <w:szCs w:val="24"/>
        </w:rPr>
        <w:t xml:space="preserve">9. Внести в </w:t>
      </w:r>
      <w:hyperlink w:history="1" r:id="rIdgzs3dxfecv4o23lo8wxy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_uqauvqy5c7y5unqxuaw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корпоративном управлении в коммерческих банках Кыргызской Республики" от 17 мая 2017 года № 19/12 следующие изменения:</w:t>
      </w:r>
    </w:p>
    <w:p>
      <w:pPr>
        <w:spacing w:after="60"/>
        <w:ind w:firstLine="567"/>
        <w:jc w:val="both"/>
      </w:pPr>
      <w:r>
        <w:rPr>
          <w:rFonts w:ascii="Arial" w:cs="Arial" w:eastAsia="Arial" w:hAnsi="Arial"/>
          <w:sz w:val="24"/>
          <w:szCs w:val="24"/>
        </w:rPr>
        <w:t xml:space="preserve">в </w:t>
      </w:r>
      <w:hyperlink w:history="1" r:id="rIdorw5mb63fgi3eifbtfnk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коммерческих банках Кыргызской Республики", утвержденном вышеуказанным </w:t>
      </w:r>
      <w:hyperlink w:history="1" r:id="rId-oysfwovsxy-2fk3veir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предложение второе пункта 20 изложить в следующей редакции:</w:t>
      </w:r>
    </w:p>
    <w:p>
      <w:pPr>
        <w:spacing w:after="60"/>
        <w:ind w:firstLine="567"/>
        <w:jc w:val="both"/>
      </w:pPr>
      <w:r>
        <w:rPr>
          <w:rFonts w:ascii="Arial" w:cs="Arial" w:eastAsia="Arial" w:hAnsi="Arial"/>
          <w:sz w:val="24"/>
          <w:szCs w:val="24"/>
        </w:rPr>
        <w:t xml:space="preserve">"При принятии решений каждый член Совета директоров должен быть объективным и руководствоваться интересами банка, а не личными интересами или интересами отдельных акционеров, должностных лиц банка или третьих лиц.";</w:t>
      </w:r>
    </w:p>
    <w:p>
      <w:pPr>
        <w:spacing w:after="60"/>
        <w:ind w:firstLine="567"/>
        <w:jc w:val="both"/>
      </w:pPr>
      <w:r>
        <w:rPr>
          <w:rFonts w:ascii="Arial" w:cs="Arial" w:eastAsia="Arial" w:hAnsi="Arial"/>
          <w:sz w:val="24"/>
          <w:szCs w:val="24"/>
        </w:rPr>
        <w:t xml:space="preserve">- пункт 24 дополнить подпунктом 7 следующего содержания:</w:t>
      </w:r>
    </w:p>
    <w:p>
      <w:pPr>
        <w:spacing w:after="60"/>
        <w:ind w:firstLine="567"/>
        <w:jc w:val="both"/>
      </w:pPr>
      <w:r>
        <w:rPr>
          <w:rFonts w:ascii="Arial" w:cs="Arial" w:eastAsia="Arial" w:hAnsi="Arial"/>
          <w:sz w:val="24"/>
          <w:szCs w:val="24"/>
        </w:rPr>
        <w:t xml:space="preserve">"7) организовать в банке эффективную систему контроля в целях недопущения совершения банком сделок и проведения операций (сделок) клиентов, которые не имеют очевидного экономического смысла, законной цели и/или которые впоследствии могут нанести ущерб интересам банка.";</w:t>
      </w:r>
    </w:p>
    <w:p>
      <w:pPr>
        <w:spacing w:after="60"/>
        <w:ind w:firstLine="567"/>
        <w:jc w:val="both"/>
      </w:pPr>
      <w:r>
        <w:rPr>
          <w:rFonts w:ascii="Arial" w:cs="Arial" w:eastAsia="Arial" w:hAnsi="Arial"/>
          <w:sz w:val="24"/>
          <w:szCs w:val="24"/>
        </w:rPr>
        <w:t xml:space="preserve">- предложение первое пункта 30 изложить в следующей редакции:</w:t>
      </w:r>
    </w:p>
    <w:p>
      <w:pPr>
        <w:spacing w:after="60"/>
        <w:ind w:firstLine="567"/>
        <w:jc w:val="both"/>
      </w:pPr>
      <w:r>
        <w:rPr>
          <w:rFonts w:ascii="Arial" w:cs="Arial" w:eastAsia="Arial" w:hAnsi="Arial"/>
          <w:sz w:val="24"/>
          <w:szCs w:val="24"/>
        </w:rPr>
        <w:t xml:space="preserve">"30. При осуществлении своей деятельности членам Правления следует быть объективными и руководствоваться прежде всего интересами банка, а не личными интересами или интересами отдельных акционеров, должностных лиц банка или третьих лиц, прилагая все усилия для обеспечения здоровой и безопасной банковской практики.";</w:t>
      </w:r>
    </w:p>
    <w:p>
      <w:pPr>
        <w:spacing w:after="60"/>
        <w:ind w:firstLine="567"/>
        <w:jc w:val="both"/>
      </w:pPr>
      <w:r>
        <w:rPr>
          <w:rFonts w:ascii="Arial" w:cs="Arial" w:eastAsia="Arial" w:hAnsi="Arial"/>
          <w:sz w:val="24"/>
          <w:szCs w:val="24"/>
        </w:rPr>
        <w:t xml:space="preserve">- пункт 32 дополнить абзацем восьмым следующего содержания:</w:t>
      </w:r>
    </w:p>
    <w:p>
      <w:pPr>
        <w:spacing w:after="60"/>
        <w:ind w:firstLine="567"/>
        <w:jc w:val="both"/>
      </w:pPr>
      <w:r>
        <w:rPr>
          <w:rFonts w:ascii="Arial" w:cs="Arial" w:eastAsia="Arial" w:hAnsi="Arial"/>
          <w:sz w:val="24"/>
          <w:szCs w:val="24"/>
        </w:rPr>
        <w:t xml:space="preserve">"- предпринимать исчерпывающие меры в целях недопущения совершения банком сделок и проведения операций (сделок) клиентов, которые не имеют очевидного экономического смысла, законной цели и/или которые впоследствии могут нанести ущерб интересам банка.".</w:t>
      </w:r>
    </w:p>
    <w:p>
      <w:pPr>
        <w:spacing w:after="60"/>
        <w:ind w:firstLine="567"/>
        <w:jc w:val="both"/>
      </w:pPr>
      <w:r>
        <w:rPr>
          <w:rFonts w:ascii="Arial" w:cs="Arial" w:eastAsia="Arial" w:hAnsi="Arial"/>
          <w:sz w:val="24"/>
          <w:szCs w:val="24"/>
        </w:rPr>
        <w:t xml:space="preserve">10. Внести в </w:t>
      </w:r>
      <w:hyperlink w:history="1" r:id="rIdsbsxlvxi5dxqxa7xy_v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u_u1hgs3tf60exedd0f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от 15 июня 2017 года № 2017-П-12/25-8-(НПА) следующее изменение:</w:t>
      </w:r>
    </w:p>
    <w:p>
      <w:pPr>
        <w:spacing w:after="60"/>
        <w:ind w:firstLine="567"/>
        <w:jc w:val="both"/>
      </w:pPr>
      <w:r>
        <w:rPr>
          <w:rFonts w:ascii="Arial" w:cs="Arial" w:eastAsia="Arial" w:hAnsi="Arial"/>
          <w:sz w:val="24"/>
          <w:szCs w:val="24"/>
        </w:rPr>
        <w:t xml:space="preserve">в </w:t>
      </w:r>
      <w:hyperlink w:history="1" r:id="rIdjgj9xurhlgrp2oj5fn_b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рисками в банках Кыргызской Республики", утвержденном вышеуказанным </w:t>
      </w:r>
      <w:hyperlink w:history="1" r:id="rIda4fcmw9ahqz3eajjcbb3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4 пункта 6 дополнить абзацем вторым следующего содержания:</w:t>
      </w:r>
    </w:p>
    <w:p>
      <w:pPr>
        <w:spacing w:after="60"/>
        <w:ind w:firstLine="567"/>
        <w:jc w:val="both"/>
      </w:pPr>
      <w:r>
        <w:rPr>
          <w:rFonts w:ascii="Arial" w:cs="Arial" w:eastAsia="Arial" w:hAnsi="Arial"/>
          <w:sz w:val="24"/>
          <w:szCs w:val="24"/>
        </w:rPr>
        <w:t xml:space="preserve">"Политика по управлению рисками должна предусматривать методы (способы) ограничения совершения банком сделок и проведения операций (сделок) клиентов, которые не имеют очевидного экономического смысла, законной цели (сделка не приносит какой-либо выгоды банку, сделка/операция носит запутанный и необычный характер, операция не соответствует обычной деятельности клиента и/или имеет признаки подозрительных операций и другие критерии) и/или которые впоследствии могут нанести ущерб интересам банка.".</w:t>
      </w:r>
    </w:p>
    <w:p>
      <w:pPr>
        <w:spacing w:after="60"/>
        <w:ind w:firstLine="567"/>
        <w:jc w:val="both"/>
      </w:pPr>
      <w:r>
        <w:rPr>
          <w:rFonts w:ascii="Arial" w:cs="Arial" w:eastAsia="Arial" w:hAnsi="Arial"/>
          <w:sz w:val="24"/>
          <w:szCs w:val="24"/>
        </w:rPr>
        <w:t xml:space="preserve">11. Внести в </w:t>
      </w:r>
      <w:hyperlink w:history="1" r:id="rIdjutzxnkm7paa7sc_wcq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8n0fzeoo1ycgwbccdrnk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размещения коммерческими банками денежных средств в иностранной валюте на депозитных счетах, открытых в Национальном банке Кыргызской Республики" от 28 февраля 2018 года № 2018-П-12/7-7-(НПА) следующее изменение:</w:t>
      </w:r>
    </w:p>
    <w:p>
      <w:pPr>
        <w:spacing w:after="60"/>
        <w:ind w:firstLine="567"/>
        <w:jc w:val="both"/>
      </w:pPr>
      <w:r>
        <w:rPr>
          <w:rFonts w:ascii="Arial" w:cs="Arial" w:eastAsia="Arial" w:hAnsi="Arial"/>
          <w:sz w:val="24"/>
          <w:szCs w:val="24"/>
        </w:rPr>
        <w:t xml:space="preserve">в </w:t>
      </w:r>
      <w:hyperlink w:history="1" r:id="rIdcr8vzkdudrye8zrhscel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размещения коммерческими банками денежных средств в иностранной валюте на депозитных счетах, открытых в Национальном банке Кыргызской Республики", утвержденном вышеуказанным </w:t>
      </w:r>
      <w:hyperlink w:history="1" r:id="rIdmgv0xhxo4udygdwihd5w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1</w:t>
      </w:r>
      <w:r>
        <w:rPr>
          <w:rFonts w:ascii="Arial" w:cs="Arial" w:eastAsia="Arial" w:hAnsi="Arial"/>
          <w:sz w:val="24"/>
          <w:szCs w:val="24"/>
        </w:rPr>
        <w:t xml:space="preserve"> к Положению:</w:t>
      </w:r>
    </w:p>
    <w:p>
      <w:pPr>
        <w:spacing w:after="60"/>
        <w:ind w:firstLine="567"/>
        <w:jc w:val="both"/>
      </w:pPr>
      <w:r>
        <w:rPr>
          <w:rFonts w:ascii="Arial" w:cs="Arial" w:eastAsia="Arial" w:hAnsi="Arial"/>
          <w:sz w:val="24"/>
          <w:szCs w:val="24"/>
        </w:rPr>
        <w:t xml:space="preserve">второе предложение пункта 2.17 изложить в следующей редакции:</w:t>
      </w:r>
    </w:p>
    <w:p>
      <w:pPr>
        <w:spacing w:after="60"/>
        <w:ind w:firstLine="567"/>
        <w:jc w:val="both"/>
      </w:pPr>
      <w:r>
        <w:rPr>
          <w:rFonts w:ascii="Arial" w:cs="Arial" w:eastAsia="Arial" w:hAnsi="Arial"/>
          <w:sz w:val="24"/>
          <w:szCs w:val="24"/>
        </w:rPr>
        <w:t xml:space="preserve">"Запрещается производить перевод денежных средств Банка в иностранной валюте, находящихся на депозитных счетах, открытых в Национальном банке, в пользу третьих лиц и в ФКО, зарегистрированные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12. Внести в </w:t>
      </w:r>
      <w:hyperlink w:history="1" r:id="rIdk7lckrnh9diz2rltprw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9cogwbuwj6xxjkrgbrmd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w:t>
      </w:r>
      <w:hyperlink w:history="1" r:id="rIdjdughxobwqkrlvpxdnyw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 от 14 августа 2019 года № 2019-П-12/42-1-(НПА) следующие изменения:</w:t>
      </w:r>
    </w:p>
    <w:p>
      <w:pPr>
        <w:spacing w:after="60"/>
        <w:ind w:firstLine="567"/>
        <w:jc w:val="both"/>
      </w:pPr>
      <w:r>
        <w:rPr>
          <w:rFonts w:ascii="Arial" w:cs="Arial" w:eastAsia="Arial" w:hAnsi="Arial"/>
          <w:sz w:val="24"/>
          <w:szCs w:val="24"/>
        </w:rPr>
        <w:t xml:space="preserve">в </w:t>
      </w:r>
      <w:hyperlink w:history="1" r:id="rIdddch5vcq8yx-q7jhsl_n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утвержденном вышеуказанным </w:t>
      </w:r>
      <w:hyperlink w:history="1" r:id="rIdzjplmfce7w5pajyqkmtb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на государственном языке дополнить абзацем восьмым следующего содержания:</w:t>
      </w:r>
    </w:p>
    <w:p>
      <w:pPr>
        <w:spacing w:after="60"/>
        <w:ind w:firstLine="567"/>
        <w:jc w:val="both"/>
      </w:pPr>
      <w:r>
        <w:rPr>
          <w:rFonts w:ascii="Arial" w:cs="Arial" w:eastAsia="Arial" w:hAnsi="Arial"/>
          <w:sz w:val="24"/>
          <w:szCs w:val="24"/>
        </w:rPr>
        <w:t xml:space="preserve">"Террористтик иш-аракеттерди каржылоого жана кылмыш жолу менен алынган кирешелерди легалдаштырууга (изин жашырууга) каршы аракеттенуу боюнча кызмат адамы оз функцияларын дароо аткаруу максатында анын карамагында иштеген кызматкерлерге ыйгарым укуктарды откоруп берууго укуктуу. Мындай учурда кызмат адамы оз функцияларын талапка ылайык аткаруу учун жоопкерчилигинен бошотулбайт.";</w:t>
      </w:r>
    </w:p>
    <w:p>
      <w:pPr>
        <w:spacing w:after="60"/>
        <w:ind w:firstLine="567"/>
        <w:jc w:val="both"/>
      </w:pPr>
      <w:r>
        <w:rPr>
          <w:rFonts w:ascii="Arial" w:cs="Arial" w:eastAsia="Arial" w:hAnsi="Arial"/>
          <w:sz w:val="24"/>
          <w:szCs w:val="24"/>
        </w:rPr>
        <w:t xml:space="preserve">- подпункт 9 пункта 32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"Банку необходимо устанавливать разумные сроки представления клиентом дополнительных документов, в том числе информации о контрагенте, но не более 10 (десяти) рабочих дней в целях определения экономической целесообразности и законности проводимых операций, а также источника происхождения денежных средств клиента и бенефициарного владельца.";</w:t>
      </w:r>
    </w:p>
    <w:p>
      <w:pPr>
        <w:spacing w:after="60"/>
        <w:ind w:firstLine="567"/>
        <w:jc w:val="both"/>
      </w:pPr>
      <w:r>
        <w:rPr>
          <w:rFonts w:ascii="Arial" w:cs="Arial" w:eastAsia="Arial" w:hAnsi="Arial"/>
          <w:sz w:val="24"/>
          <w:szCs w:val="24"/>
        </w:rPr>
        <w:t xml:space="preserve">- пункт 47 на государственном языке дополнить абзацем вторым следующего содержания:</w:t>
      </w:r>
    </w:p>
    <w:p>
      <w:pPr>
        <w:spacing w:after="60"/>
        <w:ind w:firstLine="567"/>
        <w:jc w:val="both"/>
      </w:pPr>
      <w:r>
        <w:rPr>
          <w:rFonts w:ascii="Arial" w:cs="Arial" w:eastAsia="Arial" w:hAnsi="Arial"/>
          <w:sz w:val="24"/>
          <w:szCs w:val="24"/>
        </w:rPr>
        <w:t xml:space="preserve">"Банктын Башкармасы андан аркы иштин, анын ичинде операция (бутум) жана/же кардар менен ишкердик мамиле оз убагында токтотулушу учун жоопкерчилик тартат.".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b84ggu7_tysprt0xriwd">
      <w:r>
        <w:rPr>
          <w:rFonts w:ascii="Arial" w:cs="Arial" w:eastAsia="Arial" w:hAnsi="Arial"/>
          <w:color w:val="132D3F"/>
          <w:sz w:val="16"/>
          <w:szCs w:val="16"/>
          <w:u w:val="single"/>
        </w:rPr>
        <w:t xml:space="preserve">dalil.kg/document/800782</w:t>
      </w:r>
    </w:hyperlink>
  </w:p>
  <w:p>
    <w:pPr>
      <w:spacing w:after="0" w:before="40"/>
      <w:jc w:val="center"/>
    </w:pPr>
    <w:hyperlink w:history="1" r:id="rId4wemqiu6pyiujwys92ko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7ln5cklnoud9-xfvtaf" Type="http://schemas.openxmlformats.org/officeDocument/2006/relationships/hyperlink" Target="https://dalil.kg/document/111486#st_20" TargetMode="External"/><Relationship Id="rIdbvgtdstmq1her76agujvm" Type="http://schemas.openxmlformats.org/officeDocument/2006/relationships/hyperlink" Target="https://dalil.kg/document/111486#st_68" TargetMode="External"/><Relationship Id="rIdy4bgjtp2bwuwzngka8_wg" Type="http://schemas.openxmlformats.org/officeDocument/2006/relationships/hyperlink" Target="https://dalil.kg/document/31368" TargetMode="External"/><Relationship Id="rIdi6esjwd_g71wm99joxm9k" Type="http://schemas.openxmlformats.org/officeDocument/2006/relationships/hyperlink" Target="https://dalil.kg/document/31367" TargetMode="External"/><Relationship Id="rId3gfcqzxp2rpkbpaomjvzy" Type="http://schemas.openxmlformats.org/officeDocument/2006/relationships/hyperlink" Target="https://dalil.kg/document/31370" TargetMode="External"/><Relationship Id="rIdcbkbrbw5l2iv80qden6ip" Type="http://schemas.openxmlformats.org/officeDocument/2006/relationships/hyperlink" Target="https://dalil.kg/document/31369" TargetMode="External"/><Relationship Id="rIdxbncwrcfzlo_kc1k88_dn" Type="http://schemas.openxmlformats.org/officeDocument/2006/relationships/hyperlink" Target="https://dalil.kg/document/31372" TargetMode="External"/><Relationship Id="rIdeszs8mxxfdlanoh5gifug" Type="http://schemas.openxmlformats.org/officeDocument/2006/relationships/hyperlink" Target="https://dalil.kg/document/31371" TargetMode="External"/><Relationship Id="rIdljif2wa2l-0oaqmrdgbi7" Type="http://schemas.openxmlformats.org/officeDocument/2006/relationships/hyperlink" Target="https://dalil.kg/document/300273" TargetMode="External"/><Relationship Id="rId51z-p1y3tej9bwzaitw0w" Type="http://schemas.openxmlformats.org/officeDocument/2006/relationships/hyperlink" Target="https://dalil.kg/document/302297" TargetMode="External"/><Relationship Id="rIdjsqx3rpwtyczz0_lrco6r" Type="http://schemas.openxmlformats.org/officeDocument/2006/relationships/hyperlink" Target="https://dalil.kg/document/302296" TargetMode="External"/><Relationship Id="rId0fyey-vkx2u1ofsyydgwm" Type="http://schemas.openxmlformats.org/officeDocument/2006/relationships/hyperlink" Target="https://dalil.kg/document/302353" TargetMode="External"/><Relationship Id="rIdg-alb0ds0qhbkuilbxmd2" Type="http://schemas.openxmlformats.org/officeDocument/2006/relationships/hyperlink" Target="https://dalil.kg/document/302508" TargetMode="External"/><Relationship Id="rIdo7c2wxjnjhypdprvjuhhk" Type="http://schemas.openxmlformats.org/officeDocument/2006/relationships/hyperlink" Target="https://dalil.kg/document/302507" TargetMode="External"/><Relationship Id="rIdexcj7ousmn278qrn0adsh" Type="http://schemas.openxmlformats.org/officeDocument/2006/relationships/hyperlink" Target="https://dalil.kg/document/302547" TargetMode="External"/><Relationship Id="rIdwegup-e2q9iwytigtpmta" Type="http://schemas.openxmlformats.org/officeDocument/2006/relationships/hyperlink" Target="https://dalil.kg/document/302547" TargetMode="External"/><Relationship Id="rIdqjahagyuhjbt_wjylloho" Type="http://schemas.openxmlformats.org/officeDocument/2006/relationships/hyperlink" Target="https://dalil.kg/document/303050" TargetMode="External"/><Relationship Id="rIdrgjpxtrkjc_fi-bnbsv6z" Type="http://schemas.openxmlformats.org/officeDocument/2006/relationships/hyperlink" Target="https://dalil.kg/document/303049" TargetMode="External"/><Relationship Id="rId502dtflyf0fdtg6yy05qt" Type="http://schemas.openxmlformats.org/officeDocument/2006/relationships/hyperlink" Target="https://dalil.kg/document/800088" TargetMode="External"/><Relationship Id="rIdawguo6rcgk2b6yftm8eii" Type="http://schemas.openxmlformats.org/officeDocument/2006/relationships/hyperlink" Target="https://dalil.kg/document/800087" TargetMode="External"/><Relationship Id="rIdv1rhn_lekoxsajffqwzst" Type="http://schemas.openxmlformats.org/officeDocument/2006/relationships/hyperlink" Target="https://dalil.kg/document/800063" TargetMode="External"/><Relationship Id="rIdxjudlmnzp9e40tq10y20i" Type="http://schemas.openxmlformats.org/officeDocument/2006/relationships/hyperlink" Target="https://dalil.kg/document/800062" TargetMode="External"/><Relationship Id="rIdpz91fnupffmuamgc-pjhw" Type="http://schemas.openxmlformats.org/officeDocument/2006/relationships/hyperlink" Target="https://dalil.kg/document/860284" TargetMode="External"/><Relationship Id="rIdtkgqyx1i5x39rmk4qbalt" Type="http://schemas.openxmlformats.org/officeDocument/2006/relationships/hyperlink" Target="https://dalil.kg/document/860285" TargetMode="External"/><Relationship Id="rIdzylne_npdxdvzo4xbkrxe" Type="http://schemas.openxmlformats.org/officeDocument/2006/relationships/hyperlink" Target="https://dalil.kg/document/860283" TargetMode="External"/><Relationship Id="rIdel0vfv8xdohkxv9ezr5lu" Type="http://schemas.openxmlformats.org/officeDocument/2006/relationships/hyperlink" Target="https://dalil.kg/document/31370" TargetMode="External"/><Relationship Id="rIdnn3nidaqtyljvfo4yttdt" Type="http://schemas.openxmlformats.org/officeDocument/2006/relationships/hyperlink" Target="https://dalil.kg/document/31370" TargetMode="External"/><Relationship Id="rIdrkesn9y1vc2bbfizbcgdg" Type="http://schemas.openxmlformats.org/officeDocument/2006/relationships/hyperlink" Target="https://dalil.kg/document/31368" TargetMode="External"/><Relationship Id="rIdczl1wj_60isadymksc1wy" Type="http://schemas.openxmlformats.org/officeDocument/2006/relationships/hyperlink" Target="https://dalil.kg/document/31368" TargetMode="External"/><Relationship Id="rIdyhef40kwxc1gfqwrtto5t" Type="http://schemas.openxmlformats.org/officeDocument/2006/relationships/hyperlink" Target="https://dalil.kg/document/31368" TargetMode="External"/><Relationship Id="rId8p_jyfd7auqb7-8dongjr" Type="http://schemas.openxmlformats.org/officeDocument/2006/relationships/hyperlink" Target="https://dalil.kg/document/31368" TargetMode="External"/><Relationship Id="rIdjmagc0hk2gfz0gssqh19d" Type="http://schemas.openxmlformats.org/officeDocument/2006/relationships/hyperlink" Target="https://dalil.kg/document/31368" TargetMode="External"/><Relationship Id="rId0xnlvydbxsvusgcp8a42g" Type="http://schemas.openxmlformats.org/officeDocument/2006/relationships/hyperlink" Target="https://dalil.kg/document/31370" TargetMode="External"/><Relationship Id="rId9kfdj18iwoaoijwuuton1" Type="http://schemas.openxmlformats.org/officeDocument/2006/relationships/hyperlink" Target="https://dalil.kg/document/31367" TargetMode="External"/><Relationship Id="rIdvgpmrdy1mxdjq7dvuyaow" Type="http://schemas.openxmlformats.org/officeDocument/2006/relationships/hyperlink" Target="https://dalil.kg/document/31368" TargetMode="External"/><Relationship Id="rIdjbajhvktll_s62-ralmtv" Type="http://schemas.openxmlformats.org/officeDocument/2006/relationships/hyperlink" Target="https://dalil.kg/document/31368" TargetMode="External"/><Relationship Id="rIddd6d-6dt_9snzet-x_jv6" Type="http://schemas.openxmlformats.org/officeDocument/2006/relationships/hyperlink" Target="https://dalil.kg/document/31367" TargetMode="External"/><Relationship Id="rIdg0_kgsa-wxy0icbkhzncr" Type="http://schemas.openxmlformats.org/officeDocument/2006/relationships/hyperlink" Target="https://dalil.kg/document/31368" TargetMode="External"/><Relationship Id="rId1x_-9e7zknnpufv0qpsgh" Type="http://schemas.openxmlformats.org/officeDocument/2006/relationships/hyperlink" Target="https://dalil.kg/document/31369" TargetMode="External"/><Relationship Id="rIdxskhc_5sgb6f6bgghcncl" Type="http://schemas.openxmlformats.org/officeDocument/2006/relationships/hyperlink" Target="https://dalil.kg/document/31370" TargetMode="External"/><Relationship Id="rIdtbybc32wnksoxdajrt9x6" Type="http://schemas.openxmlformats.org/officeDocument/2006/relationships/hyperlink" Target="https://dalil.kg/document/31370" TargetMode="External"/><Relationship Id="rIdhazv-xaq3pwj33anla0nh" Type="http://schemas.openxmlformats.org/officeDocument/2006/relationships/hyperlink" Target="https://dalil.kg/document/31769" TargetMode="External"/><Relationship Id="rIdbuys3-nt8erkfe3cyn28h" Type="http://schemas.openxmlformats.org/officeDocument/2006/relationships/hyperlink" Target="https://dalil.kg/document/31371" TargetMode="External"/><Relationship Id="rIdwsgbyjvwabbwrcip5zkcw" Type="http://schemas.openxmlformats.org/officeDocument/2006/relationships/hyperlink" Target="https://dalil.kg/document/31372" TargetMode="External"/><Relationship Id="rIdzrnhaewm7hrktwfuzvxwd" Type="http://schemas.openxmlformats.org/officeDocument/2006/relationships/hyperlink" Target="https://dalil.kg/document/31372" TargetMode="External"/><Relationship Id="rIdq-h8i6z0gxrlsez19qqwt" Type="http://schemas.openxmlformats.org/officeDocument/2006/relationships/hyperlink" Target="https://dalil.kg/document/31371" TargetMode="External"/><Relationship Id="rId0afz40b7dx1pt0tx88djx" Type="http://schemas.openxmlformats.org/officeDocument/2006/relationships/hyperlink" Target="https://dalil.kg/document/300273" TargetMode="External"/><Relationship Id="rIdkul4b_ed22n5e4z81apre" Type="http://schemas.openxmlformats.org/officeDocument/2006/relationships/hyperlink" Target="https://dalil.kg/document/300274" TargetMode="External"/><Relationship Id="rIdtywg4h44i3welzbaszv0_" Type="http://schemas.openxmlformats.org/officeDocument/2006/relationships/hyperlink" Target="https://dalil.kg/document/300273" TargetMode="External"/><Relationship Id="rId_yiaj6xuqzdwx5kuu3gui" Type="http://schemas.openxmlformats.org/officeDocument/2006/relationships/hyperlink" Target="https://dalil.kg/document/302296" TargetMode="External"/><Relationship Id="rIdejo3n9mgifp99woilvrpk" Type="http://schemas.openxmlformats.org/officeDocument/2006/relationships/hyperlink" Target="https://dalil.kg/document/302297" TargetMode="External"/><Relationship Id="rIdd6buvsbqdvcqh2j-bufk3" Type="http://schemas.openxmlformats.org/officeDocument/2006/relationships/hyperlink" Target="https://dalil.kg/document/302297" TargetMode="External"/><Relationship Id="rIdtfvv-p6ux9ht_nfohdrvw" Type="http://schemas.openxmlformats.org/officeDocument/2006/relationships/hyperlink" Target="https://dalil.kg/document/302296" TargetMode="External"/><Relationship Id="rIdb81mlijcgyat1hms9niyw" Type="http://schemas.openxmlformats.org/officeDocument/2006/relationships/hyperlink" Target="https://dalil.kg/document/302353" TargetMode="External"/><Relationship Id="rIdho5lpi5ecww0hgy7ubl2c" Type="http://schemas.openxmlformats.org/officeDocument/2006/relationships/hyperlink" Target="https://dalil.kg/document/302354" TargetMode="External"/><Relationship Id="rIdafrlovrroll_-7uxcqks3" Type="http://schemas.openxmlformats.org/officeDocument/2006/relationships/hyperlink" Target="https://dalil.kg/document/302353" TargetMode="External"/><Relationship Id="rIdvpyk2w2jxas6wtj26cmlt" Type="http://schemas.openxmlformats.org/officeDocument/2006/relationships/hyperlink" Target="https://dalil.kg/document/302507" TargetMode="External"/><Relationship Id="rIdscpljmtr4nnpsizuwccjr" Type="http://schemas.openxmlformats.org/officeDocument/2006/relationships/hyperlink" Target="https://dalil.kg/document/302508" TargetMode="External"/><Relationship Id="rIdwnyxoyjnoseym2oh18sfg" Type="http://schemas.openxmlformats.org/officeDocument/2006/relationships/hyperlink" Target="https://dalil.kg/document/302508" TargetMode="External"/><Relationship Id="rIdwjalep_se3zizr7xsjr7n" Type="http://schemas.openxmlformats.org/officeDocument/2006/relationships/hyperlink" Target="https://dalil.kg/document/302507" TargetMode="External"/><Relationship Id="rIdae9ypma3bnarwp7uiaz9w" Type="http://schemas.openxmlformats.org/officeDocument/2006/relationships/hyperlink" Target="https://dalil.kg/document/302547" TargetMode="External"/><Relationship Id="rIdi_44pqesecwywfvms4m_r" Type="http://schemas.openxmlformats.org/officeDocument/2006/relationships/hyperlink" Target="https://dalil.kg/document/302548" TargetMode="External"/><Relationship Id="rId7y3krgtlhlntsqssykvof" Type="http://schemas.openxmlformats.org/officeDocument/2006/relationships/hyperlink" Target="https://dalil.kg/document/302547" TargetMode="External"/><Relationship Id="rIdaqtdeyf22akmbyzo99jea" Type="http://schemas.openxmlformats.org/officeDocument/2006/relationships/hyperlink" Target="https://dalil.kg/document/97678" TargetMode="External"/><Relationship Id="rIdczefajdrddrdryjm9sws4" Type="http://schemas.openxmlformats.org/officeDocument/2006/relationships/hyperlink" Target="https://dalil.kg/document/97677" TargetMode="External"/><Relationship Id="rId2glmuolsvkpxqz8gie08o" Type="http://schemas.openxmlformats.org/officeDocument/2006/relationships/hyperlink" Target="https://dalil.kg/document/97678" TargetMode="External"/><Relationship Id="rIdtrowzgxckfnkn8rqnryrn" Type="http://schemas.openxmlformats.org/officeDocument/2006/relationships/hyperlink" Target="https://dalil.kg/document/97677" TargetMode="External"/><Relationship Id="rIdso-h3hoifskher-j8oyrd" Type="http://schemas.openxmlformats.org/officeDocument/2006/relationships/hyperlink" Target="https://dalil.kg/document/302548" TargetMode="External"/><Relationship Id="rIdgzs3dxfecv4o23lo8wxy4" Type="http://schemas.openxmlformats.org/officeDocument/2006/relationships/hyperlink" Target="https://dalil.kg/document/303049" TargetMode="External"/><Relationship Id="rId_uqauvqy5c7y5unqxuawx" Type="http://schemas.openxmlformats.org/officeDocument/2006/relationships/hyperlink" Target="https://dalil.kg/document/303050" TargetMode="External"/><Relationship Id="rIdorw5mb63fgi3eifbtfnkp" Type="http://schemas.openxmlformats.org/officeDocument/2006/relationships/hyperlink" Target="https://dalil.kg/document/303050" TargetMode="External"/><Relationship Id="rId-oysfwovsxy-2fk3veir7" Type="http://schemas.openxmlformats.org/officeDocument/2006/relationships/hyperlink" Target="https://dalil.kg/document/303049" TargetMode="External"/><Relationship Id="rIdsbsxlvxi5dxqxa7xy_vsi" Type="http://schemas.openxmlformats.org/officeDocument/2006/relationships/hyperlink" Target="https://dalil.kg/document/800087" TargetMode="External"/><Relationship Id="rIdbu_u1hgs3tf60exedd0fs" Type="http://schemas.openxmlformats.org/officeDocument/2006/relationships/hyperlink" Target="https://dalil.kg/document/800088" TargetMode="External"/><Relationship Id="rIdjgj9xurhlgrp2oj5fn_bz" Type="http://schemas.openxmlformats.org/officeDocument/2006/relationships/hyperlink" Target="https://dalil.kg/document/800088" TargetMode="External"/><Relationship Id="rIda4fcmw9ahqz3eajjcbb3h" Type="http://schemas.openxmlformats.org/officeDocument/2006/relationships/hyperlink" Target="https://dalil.kg/document/800087" TargetMode="External"/><Relationship Id="rIdjutzxnkm7paa7sc_wcqjc" Type="http://schemas.openxmlformats.org/officeDocument/2006/relationships/hyperlink" Target="https://dalil.kg/document/800062" TargetMode="External"/><Relationship Id="rId8n0fzeoo1ycgwbccdrnkd" Type="http://schemas.openxmlformats.org/officeDocument/2006/relationships/hyperlink" Target="https://dalil.kg/document/800063" TargetMode="External"/><Relationship Id="rIdcr8vzkdudrye8zrhscelh" Type="http://schemas.openxmlformats.org/officeDocument/2006/relationships/hyperlink" Target="https://dalil.kg/document/800063" TargetMode="External"/><Relationship Id="rIdmgv0xhxo4udygdwihd5w4" Type="http://schemas.openxmlformats.org/officeDocument/2006/relationships/hyperlink" Target="https://dalil.kg/document/800062" TargetMode="External"/><Relationship Id="rIdk7lckrnh9diz2rltprwcj" Type="http://schemas.openxmlformats.org/officeDocument/2006/relationships/hyperlink" Target="https://dalil.kg/document/860283" TargetMode="External"/><Relationship Id="rId9cogwbuwj6xxjkrgbrmdo" Type="http://schemas.openxmlformats.org/officeDocument/2006/relationships/hyperlink" Target="https://dalil.kg/document/860284" TargetMode="External"/><Relationship Id="rIdjdughxobwqkrlvpxdnyw7" Type="http://schemas.openxmlformats.org/officeDocument/2006/relationships/hyperlink" Target="https://dalil.kg/document/860285" TargetMode="External"/><Relationship Id="rIdddch5vcq8yx-q7jhsl_np" Type="http://schemas.openxmlformats.org/officeDocument/2006/relationships/hyperlink" Target="https://dalil.kg/document/860284" TargetMode="External"/><Relationship Id="rIdzjplmfce7w5pajyqkmtbt" Type="http://schemas.openxmlformats.org/officeDocument/2006/relationships/hyperlink" Target="https://dalil.kg/document/860283" TargetMode="External"/><Relationship Id="rId8" Type="http://schemas.openxmlformats.org/officeDocument/2006/relationships/image" Target="media/8de64316e95979c063c17bcd5380dc052a2594e9.png"/><Relationship Id="rId9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b84ggu7_tysprt0xriwd" Type="http://schemas.openxmlformats.org/officeDocument/2006/relationships/hyperlink" Target="https://dalil.kg/document/800782" TargetMode="External"/><Relationship Id="rId4wemqiu6pyiujwys92ko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2026-09-23T22:50:40.605Z</dcterms:created>
  <dcterms:modified xsi:type="dcterms:W3CDTF">2026-09-23T22:50:40.605Z</dcterms:modified>
</cp:coreProperties>
</file>

<file path=docProps/custom.xml><?xml version="1.0" encoding="utf-8"?>
<Properties xmlns="http://schemas.openxmlformats.org/officeDocument/2006/custom-properties" xmlns:vt="http://schemas.openxmlformats.org/officeDocument/2006/docPropsVTypes"/>
</file>