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z_3q225tzap-pjrmbpao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2021-П-33/53-10,
 вступают в силу с 1 января 2022 года</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1 ноября</w:t>
      </w:r>
      <w:r>
        <w:rPr>
          <w:rFonts w:ascii="Arial" w:cs="Arial" w:eastAsia="Arial" w:hAnsi="Arial"/>
          <w:sz w:val="24"/>
          <w:szCs w:val="24"/>
        </w:rPr>
        <w:t xml:space="preserve"> 2019 года № 2019-П-33/</w:t>
      </w:r>
      <w:r>
        <w:rPr>
          <w:rFonts w:ascii="Arial" w:cs="Arial" w:eastAsia="Arial" w:hAnsi="Arial"/>
          <w:sz w:val="24"/>
          <w:szCs w:val="24"/>
        </w:rPr>
        <w:t xml:space="preserve">55</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-(НФКУ)</w:t>
      </w:r>
    </w:p>
    <w:p>
      <w:pPr>
        <w:spacing w:after="400" w:before="4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75"/>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декабря 2020 года № 2020-П-33/73-12, 28 декабря 2020 года № 2020-П-33/75-4</w:t>
      </w:r>
      <w:r>
        <w:rPr>
          <w:rFonts w:ascii="Arial" w:cs="Arial" w:eastAsia="Arial" w:hAnsi="Arial"/>
          <w:sz w:val="24"/>
          <w:szCs w:val="24"/>
        </w:rPr>
        <w:t xml:space="preserve">,</w:t>
      </w:r>
      <w:hyperlink w:history="1" r:id="rId0nh8hdivyk0xri7b_vyot">
        <w:r>
          <w:rPr>
            <w:rFonts w:ascii="Arial" w:cs="Arial" w:eastAsia="Arial" w:hAnsi="Arial"/>
            <w:i/>
            <w:iCs/>
            <w:color w:val="1D4ED8"/>
            <w:sz w:val="24"/>
            <w:szCs w:val="24"/>
            <w:u w:val="single"/>
          </w:rPr>
          <w:t xml:space="preserve">28 сентября 2021 года № 2021-П-33/53-9</w:t>
        </w:r>
      </w:hyperlink>
      <w:r>
        <w:rPr>
          <w:rFonts w:ascii="Arial" w:cs="Arial" w:eastAsia="Arial" w:hAnsi="Arial"/>
          <w:i/>
          <w:iCs/>
          <w:sz w:val="24"/>
          <w:szCs w:val="24"/>
        </w:rPr>
        <w:t xml:space="preserve">,</w:t>
      </w:r>
      <w:hyperlink w:history="1" r:id="rIdrs6blfkwj7zrvdfnstvm2">
        <w:r>
          <w:rPr>
            <w:rFonts w:ascii="Arial" w:cs="Arial" w:eastAsia="Arial" w:hAnsi="Arial"/>
            <w:i/>
            <w:iCs/>
            <w:color w:val="1D4ED8"/>
            <w:sz w:val="24"/>
            <w:szCs w:val="24"/>
            <w:u w:val="single"/>
          </w:rPr>
          <w:t xml:space="preserve">17 августа 2022 года № 2022-П-33/52-2</w:t>
        </w:r>
      </w:hyperlink>
      <w:r>
        <w:rPr>
          <w:rFonts w:ascii="Arial" w:cs="Arial" w:eastAsia="Arial" w:hAnsi="Arial"/>
          <w:i/>
          <w:iCs/>
          <w:sz w:val="24"/>
          <w:szCs w:val="24"/>
        </w:rPr>
        <w:t xml:space="preserve">)</w:t>
      </w:r>
    </w:p>
    <w:p>
      <w:pPr>
        <w:spacing w:after="75"/>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hyperlink w:history="1" r:id="rIdkdcbgvvaycwzp9pujgqau">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z2o6qwcrxsb0ay5jh3nj5">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и статьей 15 </w:t>
      </w:r>
      <w:hyperlink w:history="1" r:id="rIdrn6c3svnfjlor4qbzyhl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гарантийных фондах в Кыргызской Республике"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up5scl2mycncivgwiiro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августа 2022 года № 2022-П-33/52-2)</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uuqfzosv_ltko0exvt0a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2021-П-33/53-9)</w:t>
      </w:r>
    </w:p>
    <w:p>
      <w:pPr>
        <w:spacing w:after="60"/>
        <w:ind w:firstLine="567"/>
        <w:jc w:val="both"/>
      </w:pPr>
      <w:r>
        <w:rPr>
          <w:rFonts w:ascii="Arial" w:cs="Arial" w:eastAsia="Arial" w:hAnsi="Arial"/>
          <w:i/>
          <w:iCs/>
          <w:sz w:val="24"/>
          <w:szCs w:val="24"/>
        </w:rPr>
        <w:t xml:space="preserve">- (абзац утратил силу в соответствии с постановлением Правления Нацбанка КР от 28 декабря 2020 года № 2020-П-33/75-4)</w:t>
      </w:r>
    </w:p>
    <w:p>
      <w:pPr>
        <w:spacing w:after="60"/>
        <w:ind w:firstLine="567"/>
        <w:jc w:val="both"/>
      </w:pPr>
      <w:r>
        <w:rPr>
          <w:rFonts w:ascii="Arial" w:cs="Arial" w:eastAsia="Arial" w:hAnsi="Arial"/>
          <w:sz w:val="24"/>
          <w:szCs w:val="24"/>
        </w:rPr>
        <w:t xml:space="preserve">- "Об утверждении Положения "О требованиях к учетной политике коммерческих банков и других финансово-кредитных организаций, лицензируемых Национальным банком Кыргызской Республики" от </w:t>
      </w:r>
      <w:hyperlink w:history="1" r:id="rIdkoh5cigaxeupmew4bx1tg">
        <w:r>
          <w:rPr>
            <w:rFonts w:ascii="Arial" w:cs="Arial" w:eastAsia="Arial" w:hAnsi="Arial"/>
            <w:color w:val="1D4ED8"/>
            <w:sz w:val="24"/>
            <w:szCs w:val="24"/>
            <w:u w:val="single"/>
          </w:rPr>
          <w:t xml:space="preserve">23 октября 2004 года № 26/2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Положения "О минимальных требованиях к внешнему аудиту банков и других финансово-кредитных организаций, лицензируемых Национальным банком Кыргызской Республики" от </w:t>
      </w:r>
      <w:hyperlink w:history="1" r:id="rIdxflreci8kfrxh78adsua0">
        <w:r>
          <w:rPr>
            <w:rFonts w:ascii="Arial" w:cs="Arial" w:eastAsia="Arial" w:hAnsi="Arial"/>
            <w:color w:val="1D4ED8"/>
            <w:sz w:val="24"/>
            <w:szCs w:val="24"/>
            <w:u w:val="single"/>
          </w:rPr>
          <w:t xml:space="preserve">15 июня 2017 года № 2017-П-12/25-2-(НПА)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постановлением Правления Нацбанка КР от 23 декабря 2020 года № 2020-П-33/73-12)</w:t>
      </w:r>
    </w:p>
    <w:p>
      <w:pPr>
        <w:spacing w:after="60"/>
        <w:ind w:firstLine="567"/>
        <w:jc w:val="both"/>
      </w:pPr>
      <w:r>
        <w:rPr>
          <w:rFonts w:ascii="Arial" w:cs="Arial" w:eastAsia="Arial" w:hAnsi="Arial"/>
          <w:sz w:val="24"/>
          <w:szCs w:val="24"/>
        </w:rPr>
        <w:t xml:space="preserve">- "Об утверждении Положения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от </w:t>
      </w:r>
      <w:hyperlink w:history="1" r:id="rIddjj0wzhvrfqwrrkewbl0e">
        <w:r>
          <w:rPr>
            <w:rFonts w:ascii="Arial" w:cs="Arial" w:eastAsia="Arial" w:hAnsi="Arial"/>
            <w:color w:val="1D4ED8"/>
            <w:sz w:val="24"/>
            <w:szCs w:val="24"/>
            <w:u w:val="single"/>
          </w:rPr>
          <w:t xml:space="preserve">17 мая 2017 года № 19/13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Положения "Об отдельных сделках/операциях коммерческих банков и микрофинансовых компаний Кыргызской Республики с недвижимым имуществом" от </w:t>
      </w:r>
      <w:hyperlink w:history="1" r:id="rId6-4xpsew_xwnb3l6bffpl">
        <w:r>
          <w:rPr>
            <w:rFonts w:ascii="Arial" w:cs="Arial" w:eastAsia="Arial" w:hAnsi="Arial"/>
            <w:color w:val="1D4ED8"/>
            <w:sz w:val="24"/>
            <w:szCs w:val="24"/>
            <w:u w:val="single"/>
          </w:rPr>
          <w:t xml:space="preserve">29 августа 2012 года № 36/2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Инструкции по работе с банковскими счетами, счетами по банковским вкладам (депозитам)" от </w:t>
      </w:r>
      <w:hyperlink w:history="1" r:id="rIdqo4a7p9yiounu6ckkggkq">
        <w:r>
          <w:rPr>
            <w:rFonts w:ascii="Arial" w:cs="Arial" w:eastAsia="Arial" w:hAnsi="Arial"/>
            <w:color w:val="1D4ED8"/>
            <w:sz w:val="24"/>
            <w:szCs w:val="24"/>
            <w:u w:val="single"/>
          </w:rPr>
          <w:t xml:space="preserve">31 октября 2012 года № 41/12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Инструкции "О требованиях к операциям микрофинансовых компаний, привлекающих депозиты, с аффилированными и связанными с микрофинансовой компанией лицами" от 15 июня 2017 года № 2017-П-12/25-6-(НПА)";</w:t>
      </w:r>
    </w:p>
    <w:p>
      <w:pPr>
        <w:spacing w:after="60"/>
        <w:ind w:firstLine="567"/>
        <w:jc w:val="both"/>
      </w:pPr>
      <w:r>
        <w:rPr>
          <w:rFonts w:ascii="Arial" w:cs="Arial" w:eastAsia="Arial" w:hAnsi="Arial"/>
          <w:i/>
          <w:iCs/>
          <w:sz w:val="20"/>
          <w:szCs w:val="20"/>
        </w:rPr>
        <w:t xml:space="preserve">- </w:t>
      </w:r>
      <w:r>
        <w:rPr>
          <w:rFonts w:ascii="Arial" w:cs="Arial" w:eastAsia="Arial" w:hAnsi="Arial"/>
          <w:i/>
          <w:iCs/>
          <w:sz w:val="24"/>
          <w:szCs w:val="24"/>
        </w:rPr>
        <w:t xml:space="preserve">(В редакции постановлений Правления Нацбанка КР от 23 декабря 2020 года № 2020-П-33/73-12, 28 декабря 2020 года № 2020-П-33/75-4, </w:t>
      </w:r>
      <w:hyperlink w:history="1" r:id="rIdkohvhpv8k18iq-bpayvx6">
        <w:r>
          <w:rPr>
            <w:rFonts w:ascii="Arial" w:cs="Arial" w:eastAsia="Arial" w:hAnsi="Arial"/>
            <w:i/>
            <w:iCs/>
            <w:color w:val="1D4ED8"/>
            <w:sz w:val="24"/>
            <w:szCs w:val="24"/>
            <w:u w:val="single"/>
          </w:rPr>
          <w:t xml:space="preserve">28 сентября 2021 года № 2021-П-33/53-9)</w:t>
        </w:r>
      </w:hyperlink>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4. Управлению надзора за небанковскими финансово-кредитными организациями довести настоящее постановление до сведения коммерческих банков, ОАО "Государственная ипотечная компания", Агентства по защите депозитов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надзора за небанковскими финансово-кредитными организациями.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Н.Жениш</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 ноября 2019 года № 2019-П-33/55-3-(НФКУ)</w:t>
      </w:r>
    </w:p>
    <w:p>
      <w:pPr>
        <w:spacing w:after="400" w:before="400"/>
        <w:jc w:val="center"/>
      </w:pPr>
      <w:r>
        <w:rPr>
          <w:rFonts w:ascii="Arial" w:cs="Arial" w:eastAsia="Arial" w:hAnsi="Arial"/>
          <w:b/>
          <w:bCs/>
          <w:sz w:val="32"/>
          <w:szCs w:val="32"/>
        </w:rPr>
        <w:t xml:space="preserve">О внесении изменений в некоторые нормативно-правовые акты Национального банка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декабря 2020 года № 2020-П-33/73-12</w:t>
      </w:r>
      <w:r>
        <w:rPr>
          <w:rFonts w:ascii="Arial" w:cs="Arial" w:eastAsia="Arial" w:hAnsi="Arial"/>
          <w:i/>
          <w:iCs/>
          <w:sz w:val="24"/>
          <w:szCs w:val="24"/>
        </w:rPr>
        <w:t xml:space="preserve">, </w:t>
      </w:r>
      <w:r>
        <w:rPr>
          <w:rFonts w:ascii="Arial" w:cs="Arial" w:eastAsia="Arial" w:hAnsi="Arial"/>
          <w:i/>
          <w:iCs/>
          <w:sz w:val="24"/>
          <w:szCs w:val="24"/>
        </w:rPr>
        <w:t xml:space="preserve">28 декабря 2020 года № 2020-П-33/75-4</w:t>
      </w:r>
      <w:r>
        <w:rPr>
          <w:rFonts w:ascii="Arial" w:cs="Arial" w:eastAsia="Arial" w:hAnsi="Arial"/>
          <w:i/>
          <w:iCs/>
          <w:sz w:val="24"/>
          <w:szCs w:val="24"/>
        </w:rPr>
        <w:t xml:space="preserve">, </w:t>
      </w:r>
      <w:hyperlink w:history="1" r:id="rIduwlizywhnr04m9-ulyr2i">
        <w:r>
          <w:rPr>
            <w:rFonts w:ascii="Arial" w:cs="Arial" w:eastAsia="Arial" w:hAnsi="Arial"/>
            <w:i/>
            <w:iCs/>
            <w:color w:val="1D4ED8"/>
            <w:sz w:val="24"/>
            <w:szCs w:val="24"/>
            <w:u w:val="single"/>
          </w:rPr>
          <w:t xml:space="preserve">28 сентября 2021 года № 2021-П-33/53-9</w:t>
        </w:r>
      </w:hyperlink>
      <w:r>
        <w:rPr>
          <w:rFonts w:ascii="Arial" w:cs="Arial" w:eastAsia="Arial" w:hAnsi="Arial"/>
          <w:i/>
          <w:iCs/>
          <w:sz w:val="24"/>
          <w:szCs w:val="24"/>
        </w:rPr>
        <w:t xml:space="preserve">, </w:t>
      </w:r>
      <w:hyperlink w:history="1" r:id="rIdvko5dsjhhpvo1gbyb3qil">
        <w:r>
          <w:rPr>
            <w:rFonts w:ascii="Arial" w:cs="Arial" w:eastAsia="Arial" w:hAnsi="Arial"/>
            <w:i/>
            <w:iCs/>
            <w:color w:val="1D4ED8"/>
            <w:sz w:val="24"/>
            <w:szCs w:val="24"/>
            <w:u w:val="single"/>
          </w:rPr>
          <w:t xml:space="preserve">17 августа 2022 года № 2022-П-33/52-2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w:t>
      </w:r>
      <w:r>
        <w:rPr>
          <w:rFonts w:ascii="Arial" w:cs="Arial" w:eastAsia="Arial" w:hAnsi="Arial"/>
          <w:i/>
          <w:iCs/>
          <w:sz w:val="24"/>
          <w:szCs w:val="24"/>
        </w:rPr>
        <w:t xml:space="preserve">(абзац утратил силу в соответствии с </w:t>
      </w:r>
      <w:hyperlink w:history="1" r:id="rIddksb53etvzj1t8yvqc20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августа 2022 года № 2022-П-33/52-2)</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c_mocortvdmifqquxjgq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2021-П-33/53-9)</w:t>
      </w:r>
    </w:p>
    <w:p>
      <w:pPr>
        <w:spacing w:after="60"/>
        <w:ind w:firstLine="567"/>
        <w:jc w:val="both"/>
      </w:pPr>
      <w:r>
        <w:rPr>
          <w:rFonts w:ascii="Arial" w:cs="Arial" w:eastAsia="Arial" w:hAnsi="Arial"/>
          <w:i/>
          <w:iCs/>
          <w:sz w:val="24"/>
          <w:szCs w:val="24"/>
        </w:rPr>
        <w:t xml:space="preserve">3. (Утратил силу в соответствии с постановлением Правления Нацбанка КР от 28 декабря 2020 года № 2020-П-33/75-4)</w:t>
      </w:r>
    </w:p>
    <w:p>
      <w:pPr>
        <w:spacing w:after="60"/>
        <w:ind w:firstLine="567"/>
        <w:jc w:val="both"/>
      </w:pPr>
      <w:r>
        <w:rPr>
          <w:rFonts w:ascii="Arial" w:cs="Arial" w:eastAsia="Arial" w:hAnsi="Arial"/>
          <w:sz w:val="24"/>
          <w:szCs w:val="24"/>
        </w:rPr>
        <w:t xml:space="preserve">4. Внести в </w:t>
      </w:r>
      <w:hyperlink w:history="1" r:id="rIdu54dktih6mr4dpajzd1b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требованиях к учетной политике коммерческих банков и других финансово-кредитных организаций, лицензируемых Национальным банком Кыргызской Республики" от 23 октября 2004 года № 26/2" следующие изменения:</w:t>
      </w:r>
    </w:p>
    <w:p>
      <w:pPr>
        <w:spacing w:after="60"/>
        <w:ind w:firstLine="567"/>
        <w:jc w:val="both"/>
      </w:pPr>
      <w:r>
        <w:rPr>
          <w:rFonts w:ascii="Arial" w:cs="Arial" w:eastAsia="Arial" w:hAnsi="Arial"/>
          <w:sz w:val="24"/>
          <w:szCs w:val="24"/>
        </w:rPr>
        <w:t xml:space="preserve">в Положении "О требованиях к учетной политике коммерческих банков и других финансово-кредитных организаций, лицензируемых Национальным банком Кыргызской Республики", утвержденном вышеуказанным постановлением:</w:t>
      </w:r>
    </w:p>
    <w:p>
      <w:pPr>
        <w:spacing w:after="60"/>
        <w:ind w:firstLine="567"/>
        <w:jc w:val="both"/>
      </w:pPr>
      <w:r>
        <w:rPr>
          <w:rFonts w:ascii="Arial" w:cs="Arial" w:eastAsia="Arial" w:hAnsi="Arial"/>
          <w:sz w:val="24"/>
          <w:szCs w:val="24"/>
        </w:rPr>
        <w:t xml:space="preserve">- преамбулу после слов "(далее - ФККС)," дополнить словами ", жилищно-сберегательных кредитных компаний,";</w:t>
      </w:r>
    </w:p>
    <w:p>
      <w:pPr>
        <w:spacing w:after="60"/>
        <w:ind w:firstLine="567"/>
        <w:jc w:val="both"/>
      </w:pPr>
      <w:r>
        <w:rPr>
          <w:rFonts w:ascii="Arial" w:cs="Arial" w:eastAsia="Arial" w:hAnsi="Arial"/>
          <w:sz w:val="24"/>
          <w:szCs w:val="24"/>
        </w:rPr>
        <w:t xml:space="preserve">- в пункте 4.1. после аббревиатуры "ФККС" дополнить словами ", жилищно-сберегательных кредитных компаний".</w:t>
      </w:r>
    </w:p>
    <w:p>
      <w:pPr>
        <w:spacing w:after="60"/>
        <w:ind w:firstLine="567"/>
        <w:jc w:val="both"/>
      </w:pPr>
      <w:r>
        <w:rPr>
          <w:rFonts w:ascii="Arial" w:cs="Arial" w:eastAsia="Arial" w:hAnsi="Arial"/>
          <w:sz w:val="24"/>
          <w:szCs w:val="24"/>
        </w:rPr>
        <w:t xml:space="preserve">5. Внести в </w:t>
      </w:r>
      <w:hyperlink w:history="1" r:id="rIdgsq0rypnaoylnzzon58d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минимальных требованиях к внешнему аудиту банков и других финансово-кредитных организаций, лицензируемых Национальным банком Кыргызской Республики" от 15 июня 2017 года № 2017-П-12/25-2-(НПА)" следующее изменение:</w:t>
      </w:r>
    </w:p>
    <w:p>
      <w:pPr>
        <w:spacing w:after="60"/>
        <w:ind w:firstLine="567"/>
        <w:jc w:val="both"/>
      </w:pPr>
      <w:r>
        <w:rPr>
          <w:rFonts w:ascii="Arial" w:cs="Arial" w:eastAsia="Arial" w:hAnsi="Arial"/>
          <w:sz w:val="24"/>
          <w:szCs w:val="24"/>
        </w:rPr>
        <w:t xml:space="preserve">в Положении "О минимальных требованиях к внешнему аудиту банков и других финансово-кредитных организаций, лицензируемых Национальным банком Кыргызской Республики",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после слов "Государственного банка развития Кыргызской Республики" дополнить словами ", жилищно-сберегательных кредитных компаний".</w:t>
      </w:r>
    </w:p>
    <w:p>
      <w:pPr>
        <w:spacing w:after="60"/>
        <w:ind w:firstLine="567"/>
        <w:jc w:val="both"/>
      </w:pPr>
      <w:r>
        <w:rPr>
          <w:rFonts w:ascii="Arial" w:cs="Arial" w:eastAsia="Arial" w:hAnsi="Arial"/>
          <w:i/>
          <w:iCs/>
          <w:sz w:val="24"/>
          <w:szCs w:val="24"/>
        </w:rPr>
        <w:t xml:space="preserve">6. (Утратил силу в соответствии с постановлением Правления Нацбанка КР от 23 декабря 2020 года № 2020-П-33/73-12)</w:t>
      </w:r>
    </w:p>
    <w:p>
      <w:pPr>
        <w:spacing w:after="60"/>
        <w:ind w:firstLine="567"/>
        <w:jc w:val="both"/>
      </w:pPr>
      <w:r>
        <w:rPr>
          <w:rFonts w:ascii="Arial" w:cs="Arial" w:eastAsia="Arial" w:hAnsi="Arial"/>
          <w:sz w:val="24"/>
          <w:szCs w:val="24"/>
        </w:rPr>
        <w:t xml:space="preserve">7. Внести в </w:t>
      </w:r>
      <w:hyperlink w:history="1" r:id="rIdsiqmtetu_4xgs5bp3yxc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от 17 мая 2017 года № 19/13" следующее изменение:</w:t>
      </w:r>
    </w:p>
    <w:p>
      <w:pPr>
        <w:spacing w:after="60"/>
        <w:ind w:firstLine="567"/>
        <w:jc w:val="both"/>
      </w:pPr>
      <w:r>
        <w:rPr>
          <w:rFonts w:ascii="Arial" w:cs="Arial" w:eastAsia="Arial" w:hAnsi="Arial"/>
          <w:sz w:val="24"/>
          <w:szCs w:val="24"/>
        </w:rPr>
        <w:t xml:space="preserve">в Положении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утвержденном вышеуказанным постановлением:</w:t>
      </w:r>
    </w:p>
    <w:p>
      <w:pPr>
        <w:spacing w:after="60"/>
        <w:ind w:firstLine="567"/>
        <w:jc w:val="both"/>
      </w:pPr>
      <w:r>
        <w:rPr>
          <w:rFonts w:ascii="Arial" w:cs="Arial" w:eastAsia="Arial" w:hAnsi="Arial"/>
          <w:sz w:val="24"/>
          <w:szCs w:val="24"/>
        </w:rPr>
        <w:t xml:space="preserve">- первый абзац преамбулы перед словами "обменное бюро" дополнить словами "жилищно-сберегательная кредитная компания,".</w:t>
      </w:r>
    </w:p>
    <w:p>
      <w:pPr>
        <w:spacing w:after="60"/>
        <w:ind w:firstLine="567"/>
        <w:jc w:val="both"/>
      </w:pPr>
      <w:r>
        <w:rPr>
          <w:rFonts w:ascii="Arial" w:cs="Arial" w:eastAsia="Arial" w:hAnsi="Arial"/>
          <w:sz w:val="24"/>
          <w:szCs w:val="24"/>
        </w:rPr>
        <w:t xml:space="preserve">8. Внести в </w:t>
      </w:r>
      <w:hyperlink w:history="1" r:id="rIddhb3yhi1eijsdcced33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"Об отдельных сделках/операциях коммерческих банков и микрофинансовых компаний Кыргызской Республики с недвижимым имуществом" от 29 августа 2012 года № 36/2 следующее изменение:</w:t>
      </w:r>
    </w:p>
    <w:p>
      <w:pPr>
        <w:spacing w:after="60"/>
        <w:ind w:firstLine="567"/>
        <w:jc w:val="both"/>
      </w:pPr>
      <w:r>
        <w:rPr>
          <w:rFonts w:ascii="Arial" w:cs="Arial" w:eastAsia="Arial" w:hAnsi="Arial"/>
          <w:sz w:val="24"/>
          <w:szCs w:val="24"/>
        </w:rPr>
        <w:t xml:space="preserve">в Положении "Об отдельных сделках/операциях коммерческих банков и микрофинансовых компаний Кыргызской Республики с недвижимым имуществом", утвержденном вышеуказанным постановлением:</w:t>
      </w:r>
    </w:p>
    <w:p>
      <w:pPr>
        <w:spacing w:after="60"/>
        <w:ind w:firstLine="567"/>
        <w:jc w:val="both"/>
      </w:pPr>
      <w:r>
        <w:rPr>
          <w:rFonts w:ascii="Arial" w:cs="Arial" w:eastAsia="Arial" w:hAnsi="Arial"/>
          <w:sz w:val="24"/>
          <w:szCs w:val="24"/>
        </w:rPr>
        <w:t xml:space="preserve">- пункт 2 после слов "Финансовая компания кредитных союзов" дополнить словами ", жилищно-сберегательные кредитные компании".</w:t>
      </w:r>
    </w:p>
    <w:p>
      <w:pPr>
        <w:spacing w:after="60"/>
        <w:ind w:firstLine="567"/>
        <w:jc w:val="both"/>
      </w:pPr>
      <w:r>
        <w:rPr>
          <w:rFonts w:ascii="Arial" w:cs="Arial" w:eastAsia="Arial" w:hAnsi="Arial"/>
          <w:sz w:val="24"/>
          <w:szCs w:val="24"/>
        </w:rPr>
        <w:t xml:space="preserve">9. Внести в </w:t>
      </w:r>
      <w:hyperlink w:history="1" r:id="rIdrdre21mwhabekainktcz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Инструкции по работе с банковскими счетами, счетами по банковским вкладам (депозитам)" от 31 октября 2012 года № 41/12, следующее изменение:</w:t>
      </w:r>
    </w:p>
    <w:p>
      <w:pPr>
        <w:spacing w:after="60"/>
        <w:ind w:firstLine="567"/>
        <w:jc w:val="both"/>
      </w:pPr>
      <w:r>
        <w:rPr>
          <w:rFonts w:ascii="Arial" w:cs="Arial" w:eastAsia="Arial" w:hAnsi="Arial"/>
          <w:sz w:val="24"/>
          <w:szCs w:val="24"/>
        </w:rPr>
        <w:t xml:space="preserve">в Инструкции по работе с банковскими счетами, счетами по банковским вкладам (депозитам), утвержденной вышеуказанным постановлением:</w:t>
      </w:r>
    </w:p>
    <w:p>
      <w:pPr>
        <w:spacing w:after="60"/>
        <w:ind w:firstLine="567"/>
        <w:jc w:val="both"/>
      </w:pPr>
      <w:r>
        <w:rPr>
          <w:rFonts w:ascii="Arial" w:cs="Arial" w:eastAsia="Arial" w:hAnsi="Arial"/>
          <w:sz w:val="24"/>
          <w:szCs w:val="24"/>
        </w:rPr>
        <w:t xml:space="preserve">- первый абзац преамбулы изложить в следующей редакции:</w:t>
      </w:r>
    </w:p>
    <w:p>
      <w:pPr>
        <w:spacing w:after="60"/>
        <w:ind w:firstLine="567"/>
        <w:jc w:val="both"/>
      </w:pPr>
      <w:r>
        <w:rPr>
          <w:rFonts w:ascii="Arial" w:cs="Arial" w:eastAsia="Arial" w:hAnsi="Arial"/>
          <w:sz w:val="24"/>
          <w:szCs w:val="24"/>
        </w:rPr>
        <w:t xml:space="preserve">"Настоящая Инструкция определяет порядок открытия, ведения и закрытия банковских счетов, счетов по банковским вкладам (депозитам) физических лиц, индивидуальных предпринимателей и юридических лиц (далее - клиенты) коммерческими банками, специализированной финансово-кредитной организацией ОАО "Финансовая компания кредитных союзов", микрофинансовыми компаниями, кредитными союзами, привлекающими депозиты, лицензируемыми Национальным банком Кыргызской Республики (далее - Национальный банк), а также Государственным банком развития Кыргызской Республики, жилищно-сберегательными кредитными компаниями (далее - банки). Требования настоящей Инструкции распространяются на микрофинансовые компании, привлекающие депозиты, с учетом ограничений, установленных Национальным банком, в соответствии со статьей 16 Закона Кыргызской Республики "О микрофинансовых организациях в Кыргызской Республике", на кредитные союзы, привлекающие депозиты, с учетом ограничений, установленных Национальным банком, в соответствии со статьей 4 Закона Кыргызской Республики "О кредитных союзах", и на Государственный банк развития Кыргызской Республики с учетом особенностей, предусмотренных Законом Кыргызской Республики "О Государственном банке развития Кыргызской Республики". Требования настоящей Инструкции распространяются также на жилищно-сберегательные кредитные компании с учетом особенностей, предусмотренных законодательством Кыргызской Республики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10. Внести в постановление Правления Национального банка Кыргызской Республики "Об утверждении Инструкции "О требованиях к операциям микрофинансовых компаний, привлекающих депозиты, с аффилированными и связанными с микрофинансовой компанией лицами" от </w:t>
      </w:r>
      <w:r>
        <w:rPr>
          <w:rFonts w:ascii="Arial" w:cs="Arial" w:eastAsia="Arial" w:hAnsi="Arial"/>
          <w:sz w:val="24"/>
          <w:szCs w:val="24"/>
        </w:rPr>
        <w:t xml:space="preserve">15</w:t>
      </w:r>
      <w:r>
        <w:rPr>
          <w:rFonts w:ascii="Arial" w:cs="Arial" w:eastAsia="Arial" w:hAnsi="Arial"/>
          <w:sz w:val="24"/>
          <w:szCs w:val="24"/>
        </w:rPr>
        <w:t xml:space="preserve"> июня 2017 года № 2017-П-12/25-6-(НПА) следующие изменения:</w:t>
      </w:r>
    </w:p>
    <w:p>
      <w:pPr>
        <w:spacing w:after="60"/>
        <w:ind w:firstLine="567"/>
        <w:jc w:val="both"/>
      </w:pPr>
      <w:r>
        <w:rPr>
          <w:rFonts w:ascii="Arial" w:cs="Arial" w:eastAsia="Arial" w:hAnsi="Arial"/>
          <w:sz w:val="24"/>
          <w:szCs w:val="24"/>
        </w:rPr>
        <w:t xml:space="preserve">в Инструкции "О требованиях к операциям микрофинансовых компаний, привлекающих депозиты, с аффилированными и связанными с микрофинансовой компанией лицами", утвержденной вышеуказанным постановлением:</w:t>
      </w:r>
    </w:p>
    <w:p>
      <w:pPr>
        <w:spacing w:after="60"/>
        <w:ind w:firstLine="567"/>
        <w:jc w:val="both"/>
      </w:pPr>
      <w:r>
        <w:rPr>
          <w:rFonts w:ascii="Arial" w:cs="Arial" w:eastAsia="Arial" w:hAnsi="Arial"/>
          <w:sz w:val="24"/>
          <w:szCs w:val="24"/>
        </w:rPr>
        <w:t xml:space="preserve">- наименовании Инструкции после слов "микрофинансовой компанией" дополнить словами "и жилищно-сберегательной кредитной компанией";</w:t>
      </w:r>
    </w:p>
    <w:p>
      <w:pPr>
        <w:spacing w:after="60"/>
        <w:ind w:firstLine="567"/>
        <w:jc w:val="both"/>
      </w:pPr>
      <w:r>
        <w:rPr>
          <w:rFonts w:ascii="Arial" w:cs="Arial" w:eastAsia="Arial" w:hAnsi="Arial"/>
          <w:sz w:val="24"/>
          <w:szCs w:val="24"/>
        </w:rPr>
        <w:t xml:space="preserve">- пункт 1 после слов "исламское окно" дополнить словами "и к деятельности жилищно-сберегательных кредитных компаний (далее - ЖСКК)" и после слов "с аффилированными и связанными с МФК" дополнить аббревиатурой ", ЖСКК";</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предложение первое изложить в следующей редакции:</w:t>
      </w:r>
    </w:p>
    <w:p>
      <w:pPr>
        <w:spacing w:after="60"/>
        <w:ind w:firstLine="567"/>
        <w:jc w:val="both"/>
      </w:pPr>
      <w:r>
        <w:rPr>
          <w:rFonts w:ascii="Arial" w:cs="Arial" w:eastAsia="Arial" w:hAnsi="Arial"/>
          <w:sz w:val="24"/>
          <w:szCs w:val="24"/>
        </w:rPr>
        <w:t xml:space="preserve">"МФК, ЖСКК должны вести реестр аффилированных и связанных соответственно с МФК, ЖСКК лиц, беспрепятственный доступ к которому должен быть обеспечен для работников Национального банка Кыргызской Республики (далее - Национальный банк).";</w:t>
      </w:r>
    </w:p>
    <w:p>
      <w:pPr>
        <w:spacing w:after="60"/>
        <w:ind w:firstLine="567"/>
        <w:jc w:val="both"/>
      </w:pPr>
      <w:r>
        <w:rPr>
          <w:rFonts w:ascii="Arial" w:cs="Arial" w:eastAsia="Arial" w:hAnsi="Arial"/>
          <w:sz w:val="24"/>
          <w:szCs w:val="24"/>
        </w:rPr>
        <w:t xml:space="preserve">после аббревиатуры "МФК" дополнить аббревиатурой "ЖСКК";</w:t>
      </w:r>
    </w:p>
    <w:p>
      <w:pPr>
        <w:spacing w:after="60"/>
        <w:ind w:firstLine="567"/>
        <w:jc w:val="both"/>
      </w:pPr>
      <w:r>
        <w:rPr>
          <w:rFonts w:ascii="Arial" w:cs="Arial" w:eastAsia="Arial" w:hAnsi="Arial"/>
          <w:sz w:val="24"/>
          <w:szCs w:val="24"/>
        </w:rPr>
        <w:t xml:space="preserve">- пункты 3, 4, 5, 7 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 пункт 8:</w:t>
      </w:r>
    </w:p>
    <w:p>
      <w:pPr>
        <w:spacing w:after="60"/>
        <w:ind w:firstLine="567"/>
        <w:jc w:val="both"/>
      </w:pPr>
      <w:r>
        <w:rPr>
          <w:rFonts w:ascii="Arial" w:cs="Arial" w:eastAsia="Arial" w:hAnsi="Arial"/>
          <w:sz w:val="24"/>
          <w:szCs w:val="24"/>
        </w:rPr>
        <w:t xml:space="preserve">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после слов "или со связанными" дополнить словом "соответственно";</w:t>
      </w:r>
    </w:p>
    <w:p>
      <w:pPr>
        <w:spacing w:after="60"/>
        <w:ind w:firstLine="567"/>
        <w:jc w:val="both"/>
      </w:pPr>
      <w:r>
        <w:rPr>
          <w:rFonts w:ascii="Arial" w:cs="Arial" w:eastAsia="Arial" w:hAnsi="Arial"/>
          <w:sz w:val="24"/>
          <w:szCs w:val="24"/>
        </w:rPr>
        <w:t xml:space="preserve">- пункт 9 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"МФК, ЖСКК не вправе кредитовать (далее в том числе и выдача финансирования в соответствии с исламскими принципами банковского дела и финансирования (для МФК)) аффилированных или связанных с МФК, ЖСКК лиц, если имеет место любое из перечисленных ниже условий:";</w:t>
      </w:r>
    </w:p>
    <w:p>
      <w:pPr>
        <w:spacing w:after="60"/>
        <w:ind w:firstLine="567"/>
        <w:jc w:val="both"/>
      </w:pPr>
      <w:r>
        <w:rPr>
          <w:rFonts w:ascii="Arial" w:cs="Arial" w:eastAsia="Arial" w:hAnsi="Arial"/>
          <w:sz w:val="24"/>
          <w:szCs w:val="24"/>
        </w:rPr>
        <w:t xml:space="preserve">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 пункты 11, 12, 13, 14, 15 и 16 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 пункт 17:</w:t>
      </w:r>
    </w:p>
    <w:p>
      <w:pPr>
        <w:spacing w:after="60"/>
        <w:ind w:firstLine="567"/>
        <w:jc w:val="both"/>
      </w:pPr>
      <w:r>
        <w:rPr>
          <w:rFonts w:ascii="Arial" w:cs="Arial" w:eastAsia="Arial" w:hAnsi="Arial"/>
          <w:sz w:val="24"/>
          <w:szCs w:val="24"/>
        </w:rPr>
        <w:t xml:space="preserve">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в абзаце четвертом после слова "мударабы" дополнить словами "(для МФК)";</w:t>
      </w:r>
    </w:p>
    <w:p>
      <w:pPr>
        <w:spacing w:after="60"/>
        <w:ind w:firstLine="567"/>
        <w:jc w:val="both"/>
      </w:pPr>
      <w:r>
        <w:rPr>
          <w:rFonts w:ascii="Arial" w:cs="Arial" w:eastAsia="Arial" w:hAnsi="Arial"/>
          <w:sz w:val="24"/>
          <w:szCs w:val="24"/>
        </w:rPr>
        <w:t xml:space="preserve">- пункты 18, 19, 20, 21, 22, 23, 24, 25, 26, 28, 29, 30, 31, 32, 33, 34, 35, 36, 37, 38, 39, 40, 41, 42, 43, 44, 45 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11. Внести в постановление Правления Национального банка Кыргызской Республики "Об утверждении Положения "О Временной администрации" от 8 июня 2017 года № 2017-П-12/23-8-(НПА) следующее изменение:</w:t>
      </w:r>
    </w:p>
    <w:p>
      <w:pPr>
        <w:spacing w:after="60"/>
        <w:ind w:firstLine="567"/>
        <w:jc w:val="both"/>
      </w:pPr>
      <w:r>
        <w:rPr>
          <w:rFonts w:ascii="Arial" w:cs="Arial" w:eastAsia="Arial" w:hAnsi="Arial"/>
          <w:sz w:val="24"/>
          <w:szCs w:val="24"/>
        </w:rPr>
        <w:t xml:space="preserve">в Положении "О Временной администрации",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после слов "имеющих "исламское окно"" дополнить словами ", жилищно-сберегательных кредитных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s7ydfw_ovlnls2jehfd">
      <w:r>
        <w:rPr>
          <w:rFonts w:ascii="Arial" w:cs="Arial" w:eastAsia="Arial" w:hAnsi="Arial"/>
          <w:color w:val="132D3F"/>
          <w:sz w:val="16"/>
          <w:szCs w:val="16"/>
          <w:u w:val="single"/>
        </w:rPr>
        <w:t xml:space="preserve">dalil.kg/document/800790</w:t>
      </w:r>
    </w:hyperlink>
  </w:p>
  <w:p>
    <w:pPr>
      <w:spacing w:after="0" w:before="40"/>
      <w:jc w:val="center"/>
    </w:pPr>
    <w:hyperlink w:history="1" r:id="rIdbkhfn6rsyyhepoqe3jw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_3q225tzap-pjrmbpaon" Type="http://schemas.openxmlformats.org/officeDocument/2006/relationships/hyperlink" Target="https://dalil.kg/document/800783" TargetMode="External"/><Relationship Id="rId0nh8hdivyk0xri7b_vyot" Type="http://schemas.openxmlformats.org/officeDocument/2006/relationships/hyperlink" Target="https://dalil.kg/document/800786" TargetMode="External"/><Relationship Id="rIdrs6blfkwj7zrvdfnstvm2" Type="http://schemas.openxmlformats.org/officeDocument/2006/relationships/hyperlink" Target="https://dalil.kg/document/800460" TargetMode="External"/><Relationship Id="rIdkdcbgvvaycwzp9pujgqau" Type="http://schemas.openxmlformats.org/officeDocument/2006/relationships/hyperlink" Target="https://dalil.kg/document/111486#st_20" TargetMode="External"/><Relationship Id="rIdz2o6qwcrxsb0ay5jh3nj5" Type="http://schemas.openxmlformats.org/officeDocument/2006/relationships/hyperlink" Target="https://dalil.kg/document/111486#st_68" TargetMode="External"/><Relationship Id="rIdrn6c3svnfjlor4qbzyhl_" Type="http://schemas.openxmlformats.org/officeDocument/2006/relationships/hyperlink" Target="https://dalil.kg/document/111890" TargetMode="External"/><Relationship Id="rIdup5scl2mycncivgwiiro0" Type="http://schemas.openxmlformats.org/officeDocument/2006/relationships/hyperlink" Target="https://dalil.kg/document/800460" TargetMode="External"/><Relationship Id="rIduuqfzosv_ltko0exvt0ad" Type="http://schemas.openxmlformats.org/officeDocument/2006/relationships/hyperlink" Target="https://dalil.kg/document/800786" TargetMode="External"/><Relationship Id="rIdkoh5cigaxeupmew4bx1tg" Type="http://schemas.openxmlformats.org/officeDocument/2006/relationships/hyperlink" Target="https://dalil.kg/document/31430" TargetMode="External"/><Relationship Id="rIdxflreci8kfrxh78adsua0" Type="http://schemas.openxmlformats.org/officeDocument/2006/relationships/hyperlink" Target="https://dalil.kg/document/860280" TargetMode="External"/><Relationship Id="rIddjj0wzhvrfqwrrkewbl0e" Type="http://schemas.openxmlformats.org/officeDocument/2006/relationships/hyperlink" Target="https://dalil.kg/document/800226" TargetMode="External"/><Relationship Id="rId6-4xpsew_xwnb3l6bffpl" Type="http://schemas.openxmlformats.org/officeDocument/2006/relationships/hyperlink" Target="https://dalil.kg/document/302514" TargetMode="External"/><Relationship Id="rIdqo4a7p9yiounu6ckkggkq" Type="http://schemas.openxmlformats.org/officeDocument/2006/relationships/hyperlink" Target="https://dalil.kg/document/302547" TargetMode="External"/><Relationship Id="rIdkohvhpv8k18iq-bpayvx6" Type="http://schemas.openxmlformats.org/officeDocument/2006/relationships/hyperlink" Target="https://dalil.kg/document/800786" TargetMode="External"/><Relationship Id="rIduwlizywhnr04m9-ulyr2i" Type="http://schemas.openxmlformats.org/officeDocument/2006/relationships/hyperlink" Target="https://dalil.kg/document/800786" TargetMode="External"/><Relationship Id="rIdvko5dsjhhpvo1gbyb3qil" Type="http://schemas.openxmlformats.org/officeDocument/2006/relationships/hyperlink" Target="https://dalil.kg/document/800460" TargetMode="External"/><Relationship Id="rIddksb53etvzj1t8yvqc20r" Type="http://schemas.openxmlformats.org/officeDocument/2006/relationships/hyperlink" Target="https://dalil.kg/document/800460" TargetMode="External"/><Relationship Id="rIdc_mocortvdmifqquxjgql" Type="http://schemas.openxmlformats.org/officeDocument/2006/relationships/hyperlink" Target="https://dalil.kg/document/800786" TargetMode="External"/><Relationship Id="rIdu54dktih6mr4dpajzd1bo" Type="http://schemas.openxmlformats.org/officeDocument/2006/relationships/hyperlink" Target="https://dalil.kg/document/31430" TargetMode="External"/><Relationship Id="rIdgsq0rypnaoylnzzon58dw" Type="http://schemas.openxmlformats.org/officeDocument/2006/relationships/hyperlink" Target="https://dalil.kg/document/860280" TargetMode="External"/><Relationship Id="rIdsiqmtetu_4xgs5bp3yxc6" Type="http://schemas.openxmlformats.org/officeDocument/2006/relationships/hyperlink" Target="https://dalil.kg/document/800226" TargetMode="External"/><Relationship Id="rIddhb3yhi1eijsdcced33rl" Type="http://schemas.openxmlformats.org/officeDocument/2006/relationships/hyperlink" Target="https://dalil.kg/document/302514" TargetMode="External"/><Relationship Id="rIdrdre21mwhabekainktczg" Type="http://schemas.openxmlformats.org/officeDocument/2006/relationships/hyperlink" Target="https://dalil.kg/document/302547"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s7ydfw_ovlnls2jehfd" Type="http://schemas.openxmlformats.org/officeDocument/2006/relationships/hyperlink" Target="https://dalil.kg/document/800790" TargetMode="External"/><Relationship Id="rIdbkhfn6rsyyhepoqe3jw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2026-09-24T19:30:42.678Z</dcterms:created>
  <dcterms:modified xsi:type="dcterms:W3CDTF">2026-09-24T19:30:42.678Z</dcterms:modified>
</cp:coreProperties>
</file>

<file path=docProps/custom.xml><?xml version="1.0" encoding="utf-8"?>
<Properties xmlns="http://schemas.openxmlformats.org/officeDocument/2006/custom-properties" xmlns:vt="http://schemas.openxmlformats.org/officeDocument/2006/docPropsVTypes"/>
</file>