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b6qifxpzneuswgla8q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2022 года № 2022-П-12/60-2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от 27 </w:t>
      </w:r>
      <w:r>
        <w:rPr>
          <w:rFonts w:ascii="Arial" w:cs="Arial" w:eastAsia="Arial" w:hAnsi="Arial"/>
          <w:sz w:val="24"/>
          <w:szCs w:val="24"/>
        </w:rPr>
        <w:t xml:space="preserve">октября</w:t>
      </w:r>
      <w:r>
        <w:rPr>
          <w:rFonts w:ascii="Arial" w:cs="Arial" w:eastAsia="Arial" w:hAnsi="Arial"/>
          <w:sz w:val="24"/>
          <w:szCs w:val="24"/>
        </w:rPr>
        <w:t xml:space="preserve"> 20</w:t>
      </w:r>
      <w:r>
        <w:rPr>
          <w:rFonts w:ascii="Arial" w:cs="Arial" w:eastAsia="Arial" w:hAnsi="Arial"/>
          <w:sz w:val="24"/>
          <w:szCs w:val="24"/>
        </w:rPr>
        <w:t xml:space="preserve">21</w:t>
      </w:r>
      <w:r>
        <w:rPr>
          <w:rFonts w:ascii="Arial" w:cs="Arial" w:eastAsia="Arial" w:hAnsi="Arial"/>
          <w:sz w:val="24"/>
          <w:szCs w:val="24"/>
        </w:rPr>
        <w:t xml:space="preserve"> года № 2021-П-12/59-</w:t>
      </w:r>
      <w:r>
        <w:rPr>
          <w:rFonts w:ascii="Arial" w:cs="Arial" w:eastAsia="Arial" w:hAnsi="Arial"/>
          <w:sz w:val="24"/>
          <w:szCs w:val="24"/>
        </w:rPr>
        <w:t xml:space="preserve">4</w:t>
      </w:r>
      <w:r>
        <w:rPr>
          <w:rFonts w:ascii="Arial" w:cs="Arial" w:eastAsia="Arial" w:hAnsi="Arial"/>
          <w:sz w:val="24"/>
          <w:szCs w:val="24"/>
        </w:rPr>
        <w:t xml:space="preserve">-(НПА)</w:t>
      </w:r>
    </w:p>
    <w:p>
      <w:pPr>
        <w:spacing w:after="120"/>
        <w:jc w:val="both"/>
      </w:pPr>
      <w:r>
        <w:rPr>
          <w:rFonts w:ascii="Arial" w:cs="Arial" w:eastAsia="Arial" w:hAnsi="Arial"/>
          <w:sz w:val="24"/>
          <w:szCs w:val="24"/>
        </w:rPr>
        <w:t xml:space="preserve">О внесении изменений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120"/>
        <w:jc w:val="both"/>
      </w:pPr>
      <w:r>
        <w:rPr>
          <w:rFonts w:ascii="Arial" w:cs="Arial" w:eastAsia="Arial" w:hAnsi="Arial"/>
          <w:sz w:val="24"/>
          <w:szCs w:val="24"/>
        </w:rPr>
        <w:t xml:space="preserve">В соответствии со статьями </w:t>
      </w:r>
      <w:hyperlink w:history="1" r:id="rId2vzpvlh7xuwsh_7gz-umu">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xnhxwyv7-j5z4zfaf0f8w">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изменения в </w:t>
      </w:r>
      <w:hyperlink w:history="1" r:id="rIdx_moy65vithn80eydwey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djdbmxyhe7buziuox3eba">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15 (пятнадцати) дней со дня официального опубликования, за исключением пункта 11-1 </w:t>
      </w:r>
      <w:hyperlink w:history="1" r:id="rIdzn8nk5-c2ycrbb2q8eiun">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который вступает в силу с 27 января 2022 года.</w:t>
      </w:r>
    </w:p>
    <w:p>
      <w:pPr>
        <w:spacing w:after="120"/>
        <w:jc w:val="both"/>
      </w:pPr>
      <w:r>
        <w:rPr>
          <w:rFonts w:ascii="Arial" w:cs="Arial" w:eastAsia="Arial" w:hAnsi="Arial"/>
          <w:sz w:val="24"/>
          <w:szCs w:val="24"/>
        </w:rPr>
        <w:t xml:space="preserve">3. Признать утратившим силу пункт 3 </w:t>
      </w:r>
      <w:hyperlink w:history="1" r:id="rId48uvylevtyd4_y6xu_ls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Национального банка Кыргызской Республики "О внесении изменений в </w:t>
      </w:r>
      <w:hyperlink w:history="1" r:id="rId7oagggx9s2lhimmgtawr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kfr2kvr7lrqv1kt8ng_zr">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от 19 мая 2021 года № 2021-П-12/25-2-(НПА).</w:t>
      </w:r>
    </w:p>
    <w:p>
      <w:pPr>
        <w:spacing w:after="120"/>
        <w:jc w:val="both"/>
      </w:pPr>
      <w:r>
        <w:rPr>
          <w:rFonts w:ascii="Arial" w:cs="Arial" w:eastAsia="Arial" w:hAnsi="Arial"/>
          <w:sz w:val="24"/>
          <w:szCs w:val="24"/>
        </w:rPr>
        <w:t xml:space="preserve">4.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привлекающих срочные депозиты, ОАО "Финансовая компания кредитных союзов", ОАО "Гарантийный фонд",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К.Боконтаев</w:t>
      </w:r>
    </w:p>
    <w:p>
      <w:pPr>
        <w:spacing w:after="120"/>
        <w:jc w:val="right"/>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ИЗМЕНЕНИЯ
 в постановление Правления Национального банка Кыргызской Республики "О Временных правилах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w:t>
      </w:r>
    </w:p>
    <w:p>
      <w:pPr>
        <w:spacing w:after="60"/>
        <w:ind w:firstLine="567"/>
        <w:jc w:val="both"/>
      </w:pPr>
      <w:r>
        <w:rPr>
          <w:rFonts w:ascii="Arial" w:cs="Arial" w:eastAsia="Arial" w:hAnsi="Arial"/>
          <w:sz w:val="24"/>
          <w:szCs w:val="24"/>
        </w:rPr>
        <w:t xml:space="preserve">1. Внести в </w:t>
      </w:r>
      <w:hyperlink w:history="1" r:id="rId1xz3qxjzssitrcwuaaj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w:t>
      </w:r>
      <w:hyperlink w:history="1" r:id="rIdilwkdy8phbnkjubgf0x77">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организациями" от 29 апреля 2020 года № 2020-П-12/25-7-(НПА) следующие изменения:</w:t>
      </w:r>
    </w:p>
    <w:p>
      <w:pPr>
        <w:spacing w:after="60"/>
        <w:ind w:firstLine="567"/>
        <w:jc w:val="both"/>
      </w:pPr>
      <w:r>
        <w:rPr>
          <w:rFonts w:ascii="Arial" w:cs="Arial" w:eastAsia="Arial" w:hAnsi="Arial"/>
          <w:sz w:val="24"/>
          <w:szCs w:val="24"/>
        </w:rPr>
        <w:t xml:space="preserve">во </w:t>
      </w:r>
      <w:hyperlink w:history="1" r:id="rIdhwpeyoyf6ztqdi90gywyb">
        <w:r>
          <w:rPr>
            <w:rFonts w:ascii="Arial" w:cs="Arial" w:eastAsia="Arial" w:hAnsi="Arial"/>
            <w:color w:val="1D4ED8"/>
            <w:sz w:val="24"/>
            <w:szCs w:val="24"/>
            <w:u w:val="single"/>
          </w:rPr>
          <w:t xml:space="preserve">Временных правилах</w:t>
        </w:r>
      </w:hyperlink>
      <w:r>
        <w:rPr>
          <w:rFonts w:ascii="Arial" w:cs="Arial" w:eastAsia="Arial" w:hAnsi="Arial"/>
          <w:sz w:val="24"/>
          <w:szCs w:val="24"/>
        </w:rPr>
        <w:t xml:space="preserve">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финансово-кредитными организациям, утвержденных вышеуказанным </w:t>
      </w:r>
      <w:hyperlink w:history="1" r:id="rIdp5o7xbxsdk1iei6mfls5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6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"6. Жаныдан берилген кредитти толоо графигинде негизги сумманы ай сайын эмес толоо каралган учурда, 5% олчомундо потенциалдуу жоготуулардын жана чыгым тартуулардын ордун жабууга кам тузуу менен кредиттерди "байкоого алынган активдер" катары таануу зарыл, мында негизги сумманын 80% кобун томондо корсотулгон мооноттун аякташы боюнча толоо каралган:</w:t>
      </w:r>
    </w:p>
    <w:p>
      <w:pPr>
        <w:spacing w:after="60"/>
        <w:ind w:firstLine="567"/>
        <w:jc w:val="both"/>
      </w:pPr>
      <w:r>
        <w:rPr>
          <w:rFonts w:ascii="Arial" w:cs="Arial" w:eastAsia="Arial" w:hAnsi="Arial"/>
          <w:sz w:val="24"/>
          <w:szCs w:val="24"/>
        </w:rPr>
        <w:t xml:space="preserve">- кредиттин жалпы моонотунун 3/4, мында кредиттик мезгилдин жалпы мооноту 3 (уч) жылдан аз болсо;</w:t>
      </w:r>
    </w:p>
    <w:p>
      <w:pPr>
        <w:spacing w:after="60"/>
        <w:ind w:firstLine="567"/>
        <w:jc w:val="both"/>
      </w:pPr>
      <w:r>
        <w:rPr>
          <w:rFonts w:ascii="Arial" w:cs="Arial" w:eastAsia="Arial" w:hAnsi="Arial"/>
          <w:sz w:val="24"/>
          <w:szCs w:val="24"/>
        </w:rPr>
        <w:t xml:space="preserve">- кредиттин жалпы моонотунун 1/2, мында кредиттик мезгилдин жалпы мооноту 3 (уч) жылдан жогору болсо, мында томонку кредиттер эске алынбайт:</w:t>
      </w:r>
    </w:p>
    <w:p>
      <w:pPr>
        <w:spacing w:after="60"/>
        <w:ind w:firstLine="567"/>
        <w:jc w:val="both"/>
      </w:pPr>
      <w:r>
        <w:rPr>
          <w:rFonts w:ascii="Arial" w:cs="Arial" w:eastAsia="Arial" w:hAnsi="Arial"/>
          <w:sz w:val="24"/>
          <w:szCs w:val="24"/>
        </w:rPr>
        <w:t xml:space="preserve">- Кыргыз Республикасынын Окмотунун максаттуу мамлекеттик программалары боюнча берилген жана кредитти толоо учун женилдетилген мезгил беруу каралган кредиттер;</w:t>
      </w:r>
    </w:p>
    <w:p>
      <w:pPr>
        <w:spacing w:after="60"/>
        <w:ind w:firstLine="567"/>
        <w:jc w:val="both"/>
      </w:pPr>
      <w:r>
        <w:rPr>
          <w:rFonts w:ascii="Arial" w:cs="Arial" w:eastAsia="Arial" w:hAnsi="Arial"/>
          <w:sz w:val="24"/>
          <w:szCs w:val="24"/>
        </w:rPr>
        <w:t xml:space="preserve">- жеке адамдардын жана юридикалык жактардын ишин калыбына келтируу/жандандыруу максатында кредитти толоо учун женилдетилген мезгил беруу каралган программалардын алкагында берилген кредиттер;</w:t>
      </w:r>
    </w:p>
    <w:p>
      <w:pPr>
        <w:spacing w:after="60"/>
        <w:ind w:firstLine="567"/>
        <w:jc w:val="both"/>
      </w:pPr>
      <w:r>
        <w:rPr>
          <w:rFonts w:ascii="Arial" w:cs="Arial" w:eastAsia="Arial" w:hAnsi="Arial"/>
          <w:sz w:val="24"/>
          <w:szCs w:val="24"/>
        </w:rPr>
        <w:t xml:space="preserve">- банктар аралык кредиттер, анын ичинде микрофинансылык уюмдарга берилген кредиттер;</w:t>
      </w:r>
    </w:p>
    <w:p>
      <w:pPr>
        <w:spacing w:after="60"/>
        <w:ind w:firstLine="567"/>
        <w:jc w:val="both"/>
      </w:pPr>
      <w:r>
        <w:rPr>
          <w:rFonts w:ascii="Arial" w:cs="Arial" w:eastAsia="Arial" w:hAnsi="Arial"/>
          <w:sz w:val="24"/>
          <w:szCs w:val="24"/>
        </w:rPr>
        <w:t xml:space="preserve">- чогуу алганда бир карыз алуучуга берилген таза суммардык капиталдан 1% аз суммага.</w:t>
      </w:r>
    </w:p>
    <w:p>
      <w:pPr>
        <w:spacing w:after="60"/>
        <w:ind w:firstLine="567"/>
        <w:jc w:val="both"/>
      </w:pPr>
      <w:r>
        <w:rPr>
          <w:rFonts w:ascii="Arial" w:cs="Arial" w:eastAsia="Arial" w:hAnsi="Arial"/>
          <w:sz w:val="24"/>
          <w:szCs w:val="24"/>
        </w:rPr>
        <w:t xml:space="preserve">Бул кредиттер ушул Убактылуу эрежелердин 3-пунктуна ылайык классификацияланууга тийиш.";</w:t>
      </w:r>
    </w:p>
    <w:p>
      <w:pPr>
        <w:spacing w:after="60"/>
        <w:ind w:firstLine="567"/>
        <w:jc w:val="both"/>
      </w:pPr>
      <w:r>
        <w:rPr>
          <w:rFonts w:ascii="Arial" w:cs="Arial" w:eastAsia="Arial" w:hAnsi="Arial"/>
          <w:sz w:val="24"/>
          <w:szCs w:val="24"/>
        </w:rPr>
        <w:t xml:space="preserve">- дополнить пунктом 11-1 следующего содержания:</w:t>
      </w:r>
    </w:p>
    <w:p>
      <w:pPr>
        <w:spacing w:after="60"/>
        <w:ind w:firstLine="567"/>
        <w:jc w:val="both"/>
      </w:pPr>
      <w:r>
        <w:rPr>
          <w:rFonts w:ascii="Arial" w:cs="Arial" w:eastAsia="Arial" w:hAnsi="Arial"/>
          <w:sz w:val="24"/>
          <w:szCs w:val="24"/>
        </w:rPr>
        <w:t xml:space="preserve">"11-1. При наличии просроченной задолженности свыше 360 дней актив должен классифицироваться как "потери", при этом качественные признаки такого актива, при его классификации, не применяются, за исключением активов, имеющих залоговое обеспечение, согласно пункту 4.1. Положения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 пункт 12 изложить в следующей редакции:</w:t>
      </w:r>
    </w:p>
    <w:p>
      <w:pPr>
        <w:spacing w:after="60"/>
        <w:ind w:firstLine="567"/>
        <w:jc w:val="both"/>
      </w:pPr>
      <w:r>
        <w:rPr>
          <w:rFonts w:ascii="Arial" w:cs="Arial" w:eastAsia="Arial" w:hAnsi="Arial"/>
          <w:sz w:val="24"/>
          <w:szCs w:val="24"/>
        </w:rPr>
        <w:t xml:space="preserve">"12. Банки вправе не ухудшать категорию классификации актива при его реструктуризации в связи с изменениями денежных потоков и финансового положения заемщика ввиду влияния ограничений для сдерживания распространения коронавирусной инфекции в случае, если данный актив был реструктуризирован не более 4 (четырех) раз, начиная с 1 марта 2020 года, при выполнении следующих условий:</w:t>
      </w:r>
    </w:p>
    <w:p>
      <w:pPr>
        <w:spacing w:after="60"/>
        <w:ind w:firstLine="567"/>
        <w:jc w:val="both"/>
      </w:pPr>
      <w:r>
        <w:rPr>
          <w:rFonts w:ascii="Arial" w:cs="Arial" w:eastAsia="Arial" w:hAnsi="Arial"/>
          <w:sz w:val="24"/>
          <w:szCs w:val="24"/>
        </w:rPr>
        <w:t xml:space="preserve">- просроченная задолженность по основной сумме и/или процентам по реструктуризируемому активу на момент его реструктуризации составляла не более 180 дней;</w:t>
      </w:r>
    </w:p>
    <w:p>
      <w:pPr>
        <w:spacing w:after="60"/>
        <w:ind w:firstLine="567"/>
        <w:jc w:val="both"/>
      </w:pPr>
      <w:r>
        <w:rPr>
          <w:rFonts w:ascii="Arial" w:cs="Arial" w:eastAsia="Arial" w:hAnsi="Arial"/>
          <w:sz w:val="24"/>
          <w:szCs w:val="24"/>
        </w:rPr>
        <w:t xml:space="preserve">- банком проведен тщательный анализ финансового состояния заемщика (с соответствующими расчетами, финансовыми показателями), который подтверждает возможность для заемщика осуществлять платежи по предлагаемому плану реструктуризации.</w:t>
      </w:r>
    </w:p>
    <w:p>
      <w:pPr>
        <w:spacing w:after="60"/>
        <w:ind w:firstLine="567"/>
        <w:jc w:val="both"/>
      </w:pPr>
      <w:r>
        <w:rPr>
          <w:rFonts w:ascii="Arial" w:cs="Arial" w:eastAsia="Arial" w:hAnsi="Arial"/>
          <w:sz w:val="24"/>
          <w:szCs w:val="24"/>
        </w:rPr>
        <w:t xml:space="preserve">При этом указанные требования не распространяются на кредиты с совокупной задолженностью свыше 2% от чистого суммарного капитала (ЧСК) банка. Данные кредиты при повторной реструктуризации должны классифицироваться в соответствии с требованиями пункта 7.3. Положения "О классификации активов и соответствующих отчислениях в резерв на покрытие потенциальных потерь и убытков.";</w:t>
      </w:r>
    </w:p>
    <w:p>
      <w:pPr>
        <w:spacing w:after="60"/>
        <w:ind w:firstLine="567"/>
        <w:jc w:val="both"/>
      </w:pPr>
      <w:r>
        <w:rPr>
          <w:rFonts w:ascii="Arial" w:cs="Arial" w:eastAsia="Arial" w:hAnsi="Arial"/>
          <w:sz w:val="24"/>
          <w:szCs w:val="24"/>
        </w:rPr>
        <w:t xml:space="preserve">- в пункте 14 слово "четвертой" заменить словом "пятой".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o9bwn8g-8c18ho3edilr">
      <w:r>
        <w:rPr>
          <w:rFonts w:ascii="Arial" w:cs="Arial" w:eastAsia="Arial" w:hAnsi="Arial"/>
          <w:color w:val="132D3F"/>
          <w:sz w:val="16"/>
          <w:szCs w:val="16"/>
          <w:u w:val="single"/>
        </w:rPr>
        <w:t xml:space="preserve">dalil.kg/document/800791</w:t>
      </w:r>
    </w:hyperlink>
  </w:p>
  <w:p>
    <w:pPr>
      <w:spacing w:after="0" w:before="40"/>
      <w:jc w:val="center"/>
    </w:pPr>
    <w:hyperlink w:history="1" r:id="rId0p7fdtyvb8b0ourxmmr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b6qifxpzneuswgla8qpu" Type="http://schemas.openxmlformats.org/officeDocument/2006/relationships/hyperlink" Target="https://dalil.kg/document/800475" TargetMode="External"/><Relationship Id="rId2vzpvlh7xuwsh_7gz-umu" Type="http://schemas.openxmlformats.org/officeDocument/2006/relationships/hyperlink" Target="https://dalil.kg/document/111486#st_20" TargetMode="External"/><Relationship Id="rIdxnhxwyv7-j5z4zfaf0f8w" Type="http://schemas.openxmlformats.org/officeDocument/2006/relationships/hyperlink" Target="https://dalil.kg/document/111486#st_68" TargetMode="External"/><Relationship Id="rIdx_moy65vithn80eydweyk" Type="http://schemas.openxmlformats.org/officeDocument/2006/relationships/hyperlink" Target="https://dalil.kg/document/800530" TargetMode="External"/><Relationship Id="rIddjdbmxyhe7buziuox3eba" Type="http://schemas.openxmlformats.org/officeDocument/2006/relationships/hyperlink" Target="https://dalil.kg/document/800530" TargetMode="External"/><Relationship Id="rIdzn8nk5-c2ycrbb2q8eiun" Type="http://schemas.openxmlformats.org/officeDocument/2006/relationships/hyperlink" Target="https://dalil.kg/document/800530" TargetMode="External"/><Relationship Id="rId48uvylevtyd4_y6xu_lsf" Type="http://schemas.openxmlformats.org/officeDocument/2006/relationships/hyperlink" Target="https://dalil.kg/document/800766" TargetMode="External"/><Relationship Id="rId7oagggx9s2lhimmgtawr_" Type="http://schemas.openxmlformats.org/officeDocument/2006/relationships/hyperlink" Target="https://dalil.kg/document/800530" TargetMode="External"/><Relationship Id="rIdkfr2kvr7lrqv1kt8ng_zr" Type="http://schemas.openxmlformats.org/officeDocument/2006/relationships/hyperlink" Target="https://dalil.kg/document/800534" TargetMode="External"/><Relationship Id="rId1xz3qxjzssitrcwuaajg-" Type="http://schemas.openxmlformats.org/officeDocument/2006/relationships/hyperlink" Target="https://dalil.kg/document/800530" TargetMode="External"/><Relationship Id="rIdilwkdy8phbnkjubgf0x77" Type="http://schemas.openxmlformats.org/officeDocument/2006/relationships/hyperlink" Target="https://dalil.kg/document/800534" TargetMode="External"/><Relationship Id="rIdhwpeyoyf6ztqdi90gywyb" Type="http://schemas.openxmlformats.org/officeDocument/2006/relationships/hyperlink" Target="https://dalil.kg/document/800534" TargetMode="External"/><Relationship Id="rIdp5o7xbxsdk1iei6mfls5a" Type="http://schemas.openxmlformats.org/officeDocument/2006/relationships/hyperlink" Target="https://dalil.kg/document/800530"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o9bwn8g-8c18ho3edilr" Type="http://schemas.openxmlformats.org/officeDocument/2006/relationships/hyperlink" Target="https://dalil.kg/document/800791" TargetMode="External"/><Relationship Id="rId0p7fdtyvb8b0ourxmmr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2026-09-25T14:33:02.032Z</dcterms:created>
  <dcterms:modified xsi:type="dcterms:W3CDTF">2026-09-25T14:33:02.032Z</dcterms:modified>
</cp:coreProperties>
</file>

<file path=docProps/custom.xml><?xml version="1.0" encoding="utf-8"?>
<Properties xmlns="http://schemas.openxmlformats.org/officeDocument/2006/custom-properties" xmlns:vt="http://schemas.openxmlformats.org/officeDocument/2006/docPropsVTypes"/>
</file>