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p96he6eto4f77zou35om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29 декабря 2021 года № 2021-П-12/75-2-(НПА)</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по учету операции мурабаха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Действие Порядка по учету операции мурабаха (далее - Порядок) распространяется на банки, осуществляющие операции по исламским принципам банковского дела и финансирования, в том числе через "исламское окно" (далее - банк).</w:t>
      </w:r>
    </w:p>
    <w:p>
      <w:pPr>
        <w:spacing w:after="60"/>
        <w:ind w:firstLine="567"/>
        <w:jc w:val="both"/>
      </w:pPr>
      <w:r>
        <w:rPr>
          <w:rFonts w:ascii="Arial" w:cs="Arial" w:eastAsia="Arial" w:hAnsi="Arial"/>
          <w:sz w:val="24"/>
          <w:szCs w:val="24"/>
        </w:rPr>
        <w:t xml:space="preserve">2. Настоящий Порядок определяет правила учета банком операции мурабаха и признания дохода по операции мурабаха в соответствии со Стандартами по бухгалтерскому учету, аудиту и управлению для исламских финансовых учреждений, разработанными Организацией бухгалтерского учета и аудита для исламских финансовых институтов (Accounting and Auditing Organization for Islamic Financial Institutions) (далее - стандарты AAOIFI).</w:t>
      </w:r>
    </w:p>
    <w:p>
      <w:pPr>
        <w:spacing w:after="60"/>
        <w:ind w:firstLine="567"/>
        <w:jc w:val="both"/>
      </w:pPr>
      <w:r>
        <w:rPr>
          <w:rFonts w:ascii="Arial" w:cs="Arial" w:eastAsia="Arial" w:hAnsi="Arial"/>
          <w:sz w:val="24"/>
          <w:szCs w:val="24"/>
        </w:rPr>
        <w:t xml:space="preserve">3. Банк несет ответственность за выработку и реализацию внутренних процедур учета операции мурабаха, систем внутреннего контроля, обеспечивающих соблюдение настоящего Порядка.</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sz w:val="24"/>
          <w:szCs w:val="24"/>
        </w:rPr>
        <w:t xml:space="preserve">4. В настоящем Порядке применяются следующие термины и определения:</w:t>
      </w:r>
    </w:p>
    <w:p>
      <w:pPr>
        <w:spacing w:after="60"/>
        <w:ind w:firstLine="567"/>
        <w:jc w:val="both"/>
      </w:pPr>
      <w:r>
        <w:rPr>
          <w:rFonts w:ascii="Arial" w:cs="Arial" w:eastAsia="Arial" w:hAnsi="Arial"/>
          <w:b/>
          <w:bCs/>
          <w:sz w:val="24"/>
          <w:szCs w:val="24"/>
        </w:rPr>
        <w:t xml:space="preserve">арбун</w:t>
      </w:r>
      <w:r>
        <w:rPr>
          <w:rFonts w:ascii="Arial" w:cs="Arial" w:eastAsia="Arial" w:hAnsi="Arial"/>
          <w:sz w:val="24"/>
          <w:szCs w:val="24"/>
        </w:rPr>
        <w:t xml:space="preserve"> - сумма задатка, выплаченная клиентом банку, которая после заключения сделки мурабаха зачисляется в счет погашения части задолженности клиента банка.</w:t>
      </w:r>
    </w:p>
    <w:p>
      <w:pPr>
        <w:spacing w:after="60"/>
        <w:ind w:firstLine="567"/>
        <w:jc w:val="both"/>
      </w:pPr>
      <w:r>
        <w:rPr>
          <w:rFonts w:ascii="Arial" w:cs="Arial" w:eastAsia="Arial" w:hAnsi="Arial"/>
          <w:sz w:val="24"/>
          <w:szCs w:val="24"/>
        </w:rPr>
        <w:t xml:space="preserve">В случае если сделка мурабаха не состоялась, банк имеет право не возвращать арбун клиенту;</w:t>
      </w:r>
    </w:p>
    <w:p>
      <w:pPr>
        <w:spacing w:after="60"/>
        <w:ind w:firstLine="567"/>
        <w:jc w:val="both"/>
      </w:pPr>
      <w:r>
        <w:rPr>
          <w:rFonts w:ascii="Arial" w:cs="Arial" w:eastAsia="Arial" w:hAnsi="Arial"/>
          <w:b/>
          <w:bCs/>
          <w:sz w:val="24"/>
          <w:szCs w:val="24"/>
        </w:rPr>
        <w:t xml:space="preserve">мурабаха</w:t>
      </w:r>
      <w:r>
        <w:rPr>
          <w:rFonts w:ascii="Arial" w:cs="Arial" w:eastAsia="Arial" w:hAnsi="Arial"/>
          <w:sz w:val="24"/>
          <w:szCs w:val="24"/>
        </w:rPr>
        <w:t xml:space="preserve"> - продажа в рассрочку актива (товара), приобретенного банком по заявке клиента либо находящегося в собственности банка к моменту обращения клиента;</w:t>
      </w:r>
    </w:p>
    <w:p>
      <w:pPr>
        <w:spacing w:after="60"/>
        <w:ind w:firstLine="567"/>
        <w:jc w:val="both"/>
      </w:pPr>
      <w:r>
        <w:rPr>
          <w:rFonts w:ascii="Arial" w:cs="Arial" w:eastAsia="Arial" w:hAnsi="Arial"/>
          <w:b/>
          <w:bCs/>
          <w:sz w:val="24"/>
          <w:szCs w:val="24"/>
        </w:rPr>
        <w:t xml:space="preserve">наценка</w:t>
      </w:r>
      <w:r>
        <w:rPr>
          <w:rFonts w:ascii="Arial" w:cs="Arial" w:eastAsia="Arial" w:hAnsi="Arial"/>
          <w:sz w:val="24"/>
          <w:szCs w:val="24"/>
        </w:rPr>
        <w:t xml:space="preserve"> - прибыль банка по договору мурабаха, устанавливаемая в виде фиксированной суммы или доли себестоимости актива (товара);</w:t>
      </w:r>
    </w:p>
    <w:p>
      <w:pPr>
        <w:spacing w:after="60"/>
        <w:ind w:firstLine="567"/>
        <w:jc w:val="both"/>
      </w:pPr>
      <w:r>
        <w:rPr>
          <w:rFonts w:ascii="Arial" w:cs="Arial" w:eastAsia="Arial" w:hAnsi="Arial"/>
          <w:b/>
          <w:bCs/>
          <w:sz w:val="24"/>
          <w:szCs w:val="24"/>
        </w:rPr>
        <w:t xml:space="preserve">первоначальная стоимость</w:t>
      </w:r>
      <w:r>
        <w:rPr>
          <w:rFonts w:ascii="Arial" w:cs="Arial" w:eastAsia="Arial" w:hAnsi="Arial"/>
          <w:sz w:val="24"/>
          <w:szCs w:val="24"/>
        </w:rPr>
        <w:t xml:space="preserve"> - сумма дебиторской задолженности по мурабаха, основанная на цене, согласованной между клиентом и банком, и состоящая из стоимости актива и наценки банка по сделке;</w:t>
      </w:r>
    </w:p>
    <w:p>
      <w:pPr>
        <w:spacing w:after="60"/>
        <w:ind w:firstLine="567"/>
        <w:jc w:val="both"/>
      </w:pPr>
      <w:r>
        <w:rPr>
          <w:rFonts w:ascii="Arial" w:cs="Arial" w:eastAsia="Arial" w:hAnsi="Arial"/>
          <w:b/>
          <w:bCs/>
          <w:sz w:val="24"/>
          <w:szCs w:val="24"/>
        </w:rPr>
        <w:t xml:space="preserve">хамиш джиддия</w:t>
      </w:r>
      <w:r>
        <w:rPr>
          <w:rFonts w:ascii="Arial" w:cs="Arial" w:eastAsia="Arial" w:hAnsi="Arial"/>
          <w:sz w:val="24"/>
          <w:szCs w:val="24"/>
        </w:rPr>
        <w:t xml:space="preserve"> - сумма, выплаченная клиентом банку в удостоверение серьезности намерения клиента заключить договор мурабаха. В случае если сделка мурабаха не состоялась, банк имеет право возместить размер возникших убытков за счет хамиш джиддия, оставшаяся после возмещения сумма возвращается клиенту;</w:t>
      </w:r>
    </w:p>
    <w:p>
      <w:pPr>
        <w:spacing w:after="60"/>
        <w:ind w:firstLine="567"/>
        <w:jc w:val="both"/>
      </w:pPr>
      <w:r>
        <w:rPr>
          <w:rFonts w:ascii="Arial" w:cs="Arial" w:eastAsia="Arial" w:hAnsi="Arial"/>
          <w:b/>
          <w:bCs/>
          <w:sz w:val="24"/>
          <w:szCs w:val="24"/>
        </w:rPr>
        <w:t xml:space="preserve">справедливая стоимость</w:t>
      </w:r>
      <w:r>
        <w:rPr>
          <w:rFonts w:ascii="Arial" w:cs="Arial" w:eastAsia="Arial" w:hAnsi="Arial"/>
          <w:sz w:val="24"/>
          <w:szCs w:val="24"/>
        </w:rPr>
        <w:t xml:space="preserve"> - расчетная денежная сумма, за которую состоялся бы обмен имущества на дату оценки между готовым купить покупателем и готовым продать продавцом в коммерческой сделке после должного маркетинга, во время которой каждая из сторон действовала компетентно, расчетливо и без принуждения.</w:t>
      </w:r>
    </w:p>
    <w:p>
      <w:pPr>
        <w:spacing w:after="200" w:before="200"/>
        <w:jc w:val="center"/>
      </w:pPr>
      <w:r>
        <w:rPr>
          <w:rFonts w:ascii="Arial" w:cs="Arial" w:eastAsia="Arial" w:hAnsi="Arial"/>
          <w:b/>
          <w:bCs/>
          <w:sz w:val="24"/>
          <w:szCs w:val="24"/>
        </w:rPr>
        <w:t xml:space="preserve">3. Признание и последующая оценка актива, предназначенного для продажи по договору мурабаха</w:t>
      </w:r>
    </w:p>
    <w:p>
      <w:pPr>
        <w:spacing w:after="60"/>
        <w:ind w:firstLine="567"/>
        <w:jc w:val="both"/>
      </w:pPr>
      <w:r>
        <w:rPr>
          <w:rFonts w:ascii="Arial" w:cs="Arial" w:eastAsia="Arial" w:hAnsi="Arial"/>
          <w:sz w:val="24"/>
          <w:szCs w:val="24"/>
        </w:rPr>
        <w:t xml:space="preserve">5. Активы, приобретенные банком для последующей продажи по договору мурабаха, признаются по себестоимости с увеличением статьи бухгалтерского баланса "активы/инвентарь для последующей передачи по мурабаха".</w:t>
      </w:r>
    </w:p>
    <w:p>
      <w:pPr>
        <w:spacing w:after="60"/>
        <w:ind w:firstLine="567"/>
        <w:jc w:val="both"/>
      </w:pPr>
      <w:r>
        <w:rPr>
          <w:rFonts w:ascii="Arial" w:cs="Arial" w:eastAsia="Arial" w:hAnsi="Arial"/>
          <w:sz w:val="24"/>
          <w:szCs w:val="24"/>
        </w:rPr>
        <w:t xml:space="preserve">6. В себестоимость актива должны включаться все затраты на приобретение и прочие затраты, понесенные при поставке и приведение их в рабочее состояние, расходы по страхованию и любые другие агентские расходы и комиссионные.</w:t>
      </w:r>
    </w:p>
    <w:p>
      <w:pPr>
        <w:spacing w:after="60"/>
        <w:ind w:firstLine="567"/>
        <w:jc w:val="both"/>
      </w:pPr>
      <w:r>
        <w:rPr>
          <w:rFonts w:ascii="Arial" w:cs="Arial" w:eastAsia="Arial" w:hAnsi="Arial"/>
          <w:sz w:val="24"/>
          <w:szCs w:val="24"/>
        </w:rPr>
        <w:t xml:space="preserve">Любые дополнительные непрямые расходы должны быть отражены в отчете о прибылях и убытках банка в соответствующем периоде.</w:t>
      </w:r>
    </w:p>
    <w:p>
      <w:pPr>
        <w:spacing w:after="60"/>
        <w:ind w:firstLine="567"/>
        <w:jc w:val="both"/>
      </w:pPr>
      <w:r>
        <w:rPr>
          <w:rFonts w:ascii="Arial" w:cs="Arial" w:eastAsia="Arial" w:hAnsi="Arial"/>
          <w:sz w:val="24"/>
          <w:szCs w:val="24"/>
        </w:rPr>
        <w:t xml:space="preserve">7. Скидка (дисконт), получаемая банком при покупке актива для дальнейшей перепродажи, не может считаться доходом банка. Банк должен снизить стоимость товара для клиента на сумму скидки, за исключением случаев, когда имеется соответствующее решение Шариатского совета.</w:t>
      </w:r>
    </w:p>
    <w:p>
      <w:pPr>
        <w:spacing w:after="60"/>
        <w:ind w:firstLine="567"/>
        <w:jc w:val="both"/>
      </w:pPr>
      <w:r>
        <w:rPr>
          <w:rFonts w:ascii="Arial" w:cs="Arial" w:eastAsia="Arial" w:hAnsi="Arial"/>
          <w:sz w:val="24"/>
          <w:szCs w:val="24"/>
        </w:rPr>
        <w:t xml:space="preserve">Если банк не уменьшает стоимость актива (товара), предназначенного для передачи клиенту по договору мурабаха, на сумму, полученной банком на данный товар скидки (дисконта), то такая скидка (дисконт) отражается в бухгалтерском балансе банка по статье "доходы будущих периодов".</w:t>
      </w:r>
    </w:p>
    <w:p>
      <w:pPr>
        <w:spacing w:after="60"/>
        <w:ind w:firstLine="567"/>
        <w:jc w:val="both"/>
      </w:pPr>
      <w:r>
        <w:rPr>
          <w:rFonts w:ascii="Arial" w:cs="Arial" w:eastAsia="Arial" w:hAnsi="Arial"/>
          <w:sz w:val="24"/>
          <w:szCs w:val="24"/>
        </w:rPr>
        <w:t xml:space="preserve">8. После первоначального признания актив (товар), предназначенный для продажи по мурабаха, оценивается следующим образом:</w:t>
      </w:r>
    </w:p>
    <w:p>
      <w:pPr>
        <w:spacing w:after="60"/>
        <w:ind w:firstLine="567"/>
        <w:jc w:val="both"/>
      </w:pPr>
      <w:r>
        <w:rPr>
          <w:rFonts w:ascii="Arial" w:cs="Arial" w:eastAsia="Arial" w:hAnsi="Arial"/>
          <w:sz w:val="24"/>
          <w:szCs w:val="24"/>
        </w:rPr>
        <w:t xml:space="preserve">1) в тех случаях, когда клиент банка несет обязательство по приобретению актива по стоимости, равной или превышающей себестоимость, банк должен учитывать актив по себестоимости, независимо от колебаний справедливой стоимости на них, если таковые имеются.</w:t>
      </w:r>
    </w:p>
    <w:p>
      <w:pPr>
        <w:spacing w:after="60"/>
        <w:ind w:firstLine="567"/>
        <w:jc w:val="both"/>
      </w:pPr>
      <w:r>
        <w:rPr>
          <w:rFonts w:ascii="Arial" w:cs="Arial" w:eastAsia="Arial" w:hAnsi="Arial"/>
          <w:sz w:val="24"/>
          <w:szCs w:val="24"/>
        </w:rPr>
        <w:t xml:space="preserve">Считается, что клиент банка несет обязательство по приобретению актива и оно является для него обязательным в случае, если банк, ожидающий исполнение такого обязательства, понес связанные с ним издержки;</w:t>
      </w:r>
    </w:p>
    <w:p>
      <w:pPr>
        <w:spacing w:after="60"/>
        <w:ind w:firstLine="567"/>
        <w:jc w:val="both"/>
      </w:pPr>
      <w:r>
        <w:rPr>
          <w:rFonts w:ascii="Arial" w:cs="Arial" w:eastAsia="Arial" w:hAnsi="Arial"/>
          <w:sz w:val="24"/>
          <w:szCs w:val="24"/>
        </w:rPr>
        <w:t xml:space="preserve">2) в тех случаях, когда клиент банка не несет обязательств по приобретению актива:</w:t>
      </w:r>
    </w:p>
    <w:p>
      <w:pPr>
        <w:spacing w:after="60"/>
        <w:ind w:firstLine="567"/>
        <w:jc w:val="both"/>
      </w:pPr>
      <w:r>
        <w:rPr>
          <w:rFonts w:ascii="Arial" w:cs="Arial" w:eastAsia="Arial" w:hAnsi="Arial"/>
          <w:sz w:val="24"/>
          <w:szCs w:val="24"/>
        </w:rPr>
        <w:t xml:space="preserve">- недвижимое имущество учитывается по наименьшей из чистой балансовой стоимости (стоимость за минусом амортизации и убытка от обесценения) и справедливой стоимости, согласно </w:t>
      </w:r>
      <w:hyperlink w:history="1" r:id="rId3jinyrvvaob9vi6-b-7yr">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отдельных сделках/операциях коммерческих банков и микрофинансовых компаний Кыргызской Республики с недвижимым имуществом", утвержденному </w:t>
      </w:r>
      <w:hyperlink w:history="1" r:id="rId0qfr-sn95joyqez-oeph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29 августа 2012 года № 36/2;</w:t>
      </w:r>
    </w:p>
    <w:p>
      <w:pPr>
        <w:spacing w:after="60"/>
        <w:ind w:firstLine="567"/>
        <w:jc w:val="both"/>
      </w:pPr>
      <w:r>
        <w:rPr>
          <w:rFonts w:ascii="Arial" w:cs="Arial" w:eastAsia="Arial" w:hAnsi="Arial"/>
          <w:sz w:val="24"/>
          <w:szCs w:val="24"/>
        </w:rPr>
        <w:t xml:space="preserve">- движимое имущество учитывается по справедливой стоимости.</w:t>
      </w:r>
    </w:p>
    <w:p>
      <w:pPr>
        <w:spacing w:after="60"/>
        <w:ind w:firstLine="567"/>
        <w:jc w:val="both"/>
      </w:pPr>
      <w:r>
        <w:rPr>
          <w:rFonts w:ascii="Arial" w:cs="Arial" w:eastAsia="Arial" w:hAnsi="Arial"/>
          <w:sz w:val="24"/>
          <w:szCs w:val="24"/>
        </w:rPr>
        <w:t xml:space="preserve">Имущество, описанное в настоящем подпункте, классифицируется в соответствии с </w:t>
      </w:r>
      <w:hyperlink w:history="1" r:id="rId0v1dnonegscy44r1i6zhb">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 утвержденным </w:t>
      </w:r>
      <w:hyperlink w:history="1" r:id="rIdnkcshsvk3ntqqohdgloe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декабря 2009 года № 51/6.</w:t>
      </w:r>
    </w:p>
    <w:p>
      <w:pPr>
        <w:spacing w:after="60"/>
        <w:ind w:firstLine="567"/>
        <w:jc w:val="both"/>
      </w:pPr>
      <w:r>
        <w:rPr>
          <w:rFonts w:ascii="Arial" w:cs="Arial" w:eastAsia="Arial" w:hAnsi="Arial"/>
          <w:sz w:val="24"/>
          <w:szCs w:val="24"/>
        </w:rPr>
        <w:t xml:space="preserve">9. В случае отказа клиента от заключения договора мурабаха расходы банка, связанные с приобретением актива (товара), могут быть покрыты за счет ранее полученных сумм хамиш джиддия или арбун, согласно стандартам AAOIFI.</w:t>
      </w:r>
    </w:p>
    <w:p>
      <w:pPr>
        <w:spacing w:after="200" w:before="200"/>
        <w:jc w:val="center"/>
      </w:pPr>
      <w:r>
        <w:rPr>
          <w:rFonts w:ascii="Arial" w:cs="Arial" w:eastAsia="Arial" w:hAnsi="Arial"/>
          <w:b/>
          <w:bCs/>
          <w:sz w:val="24"/>
          <w:szCs w:val="24"/>
        </w:rPr>
        <w:t xml:space="preserve">4. Признание и последующая оценка дебиторской задолженности мурабаха</w:t>
      </w:r>
    </w:p>
    <w:p>
      <w:pPr>
        <w:spacing w:after="60"/>
        <w:ind w:firstLine="567"/>
        <w:jc w:val="both"/>
      </w:pPr>
      <w:r>
        <w:rPr>
          <w:rFonts w:ascii="Arial" w:cs="Arial" w:eastAsia="Arial" w:hAnsi="Arial"/>
          <w:sz w:val="24"/>
          <w:szCs w:val="24"/>
        </w:rPr>
        <w:t xml:space="preserve">10. Банк отражает дебиторскую задолженность и наценку в своей финансовой отчетности после продажи активов по договору мурабаха.</w:t>
      </w:r>
    </w:p>
    <w:p>
      <w:pPr>
        <w:spacing w:after="60"/>
        <w:ind w:firstLine="567"/>
        <w:jc w:val="both"/>
      </w:pPr>
      <w:r>
        <w:rPr>
          <w:rFonts w:ascii="Arial" w:cs="Arial" w:eastAsia="Arial" w:hAnsi="Arial"/>
          <w:sz w:val="24"/>
          <w:szCs w:val="24"/>
        </w:rPr>
        <w:t xml:space="preserve">11. Мурабаха признается на балансе банка по первоначальной стоимости:</w:t>
      </w:r>
    </w:p>
    <w:p>
      <w:pPr>
        <w:spacing w:after="60"/>
        <w:ind w:firstLine="567"/>
        <w:jc w:val="both"/>
      </w:pPr>
      <w:r>
        <w:rPr>
          <w:rFonts w:ascii="Arial" w:cs="Arial" w:eastAsia="Arial" w:hAnsi="Arial"/>
          <w:sz w:val="24"/>
          <w:szCs w:val="24"/>
        </w:rPr>
        <w:t xml:space="preserve">1) стоимость проданного актива отражается по статье бухгалтерского баланса "дебиторская задолженность по мурабаха"/"финансирование мурабаха";</w:t>
      </w:r>
    </w:p>
    <w:p>
      <w:pPr>
        <w:spacing w:after="60"/>
        <w:ind w:firstLine="567"/>
        <w:jc w:val="both"/>
      </w:pPr>
      <w:r>
        <w:rPr>
          <w:rFonts w:ascii="Arial" w:cs="Arial" w:eastAsia="Arial" w:hAnsi="Arial"/>
          <w:sz w:val="24"/>
          <w:szCs w:val="24"/>
        </w:rPr>
        <w:t xml:space="preserve">2) наценка по активу отражается в полном объеме за весь срок финансирования по статьям бухгалтерского баланса "наценка по мурабаха" в прочих активах и "отсроченная прибыль по мурабаха" в прочих обязательствах.</w:t>
      </w:r>
    </w:p>
    <w:p>
      <w:pPr>
        <w:spacing w:after="60"/>
        <w:ind w:firstLine="567"/>
        <w:jc w:val="both"/>
      </w:pPr>
      <w:r>
        <w:rPr>
          <w:rFonts w:ascii="Arial" w:cs="Arial" w:eastAsia="Arial" w:hAnsi="Arial"/>
          <w:sz w:val="24"/>
          <w:szCs w:val="24"/>
        </w:rPr>
        <w:t xml:space="preserve">12. После первоначального признания дебиторская задолженность по операции мурабаха учитывается в сумме непогашенной задолженности за вычетом резервов на покрытие потенциальных потерь и убытков.</w:t>
      </w:r>
    </w:p>
    <w:p>
      <w:pPr>
        <w:spacing w:after="60"/>
        <w:ind w:firstLine="567"/>
        <w:jc w:val="both"/>
      </w:pPr>
      <w:r>
        <w:rPr>
          <w:rFonts w:ascii="Arial" w:cs="Arial" w:eastAsia="Arial" w:hAnsi="Arial"/>
          <w:sz w:val="24"/>
          <w:szCs w:val="24"/>
        </w:rPr>
        <w:t xml:space="preserve">13. Операционные расходы, связанные с переговорами и заключением договора мурабаха, за вычетом любых возмещений со стороны покупателя, учитываются в соответствующем периоде.</w:t>
      </w:r>
    </w:p>
    <w:p>
      <w:pPr>
        <w:spacing w:after="60"/>
        <w:ind w:firstLine="567"/>
        <w:jc w:val="both"/>
      </w:pPr>
      <w:r>
        <w:rPr>
          <w:rFonts w:ascii="Arial" w:cs="Arial" w:eastAsia="Arial" w:hAnsi="Arial"/>
          <w:sz w:val="24"/>
          <w:szCs w:val="24"/>
        </w:rPr>
        <w:t xml:space="preserve">14. После заключения договора мурабаха:</w:t>
      </w:r>
    </w:p>
    <w:p>
      <w:pPr>
        <w:spacing w:after="60"/>
        <w:ind w:firstLine="567"/>
        <w:jc w:val="both"/>
      </w:pPr>
      <w:r>
        <w:rPr>
          <w:rFonts w:ascii="Arial" w:cs="Arial" w:eastAsia="Arial" w:hAnsi="Arial"/>
          <w:sz w:val="24"/>
          <w:szCs w:val="24"/>
        </w:rPr>
        <w:t xml:space="preserve">1) хамиш джиддия не подлежит зачету в счет дебиторской задолженности, кроме случаев, согласованных с клиентом в договоре;</w:t>
      </w:r>
    </w:p>
    <w:p>
      <w:pPr>
        <w:spacing w:after="60"/>
        <w:ind w:firstLine="567"/>
        <w:jc w:val="both"/>
      </w:pPr>
      <w:r>
        <w:rPr>
          <w:rFonts w:ascii="Arial" w:cs="Arial" w:eastAsia="Arial" w:hAnsi="Arial"/>
          <w:sz w:val="24"/>
          <w:szCs w:val="24"/>
        </w:rPr>
        <w:t xml:space="preserve">2) арбун должен быть вычтен из дебиторской задолженности клиента.</w:t>
      </w:r>
    </w:p>
    <w:p>
      <w:pPr>
        <w:spacing w:after="200" w:before="200"/>
        <w:jc w:val="center"/>
      </w:pPr>
      <w:r>
        <w:rPr>
          <w:rFonts w:ascii="Arial" w:cs="Arial" w:eastAsia="Arial" w:hAnsi="Arial"/>
          <w:b/>
          <w:bCs/>
          <w:sz w:val="24"/>
          <w:szCs w:val="24"/>
        </w:rPr>
        <w:t xml:space="preserve">5. Признание прибыли по мурабаха</w:t>
      </w:r>
    </w:p>
    <w:p>
      <w:pPr>
        <w:spacing w:after="60"/>
        <w:ind w:firstLine="567"/>
        <w:jc w:val="both"/>
      </w:pPr>
      <w:r>
        <w:rPr>
          <w:rFonts w:ascii="Arial" w:cs="Arial" w:eastAsia="Arial" w:hAnsi="Arial"/>
          <w:sz w:val="24"/>
          <w:szCs w:val="24"/>
        </w:rPr>
        <w:t xml:space="preserve">15. Прибыль по операции мурабаха признается в счет уменьшения статьи бухгалтерского баланса "отсроченная прибыль по мурабаха" в том периоде, в котором она имело место, независимо от фактического поступления денежных средств.</w:t>
      </w:r>
    </w:p>
    <w:p>
      <w:pPr>
        <w:spacing w:after="60"/>
        <w:ind w:firstLine="567"/>
        <w:jc w:val="both"/>
      </w:pPr>
      <w:r>
        <w:rPr>
          <w:rFonts w:ascii="Arial" w:cs="Arial" w:eastAsia="Arial" w:hAnsi="Arial"/>
          <w:sz w:val="24"/>
          <w:szCs w:val="24"/>
        </w:rPr>
        <w:t xml:space="preserve">16. Согласно стандартам AAOIFI, банк должен применять эффективную процентную ставку для расчета нормы прибыли по сделке независимо от срока финансирования мурабаха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расчете эффективной процентной ставки при распространении информации о размере вознаграждения по банковским услугам",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27 августа 2008 года № 33/4.</w:t>
      </w:r>
    </w:p>
    <w:p>
      <w:pPr>
        <w:spacing w:after="60"/>
        <w:ind w:firstLine="567"/>
        <w:jc w:val="both"/>
      </w:pPr>
      <w:r>
        <w:rPr>
          <w:rFonts w:ascii="Arial" w:cs="Arial" w:eastAsia="Arial" w:hAnsi="Arial"/>
          <w:sz w:val="24"/>
          <w:szCs w:val="24"/>
        </w:rPr>
        <w:t xml:space="preserve">17. Если банк предоставил скидку клиенту при досрочном погашении задолженности по договору мурабаха или по иной причине, сумма скидки должна быть отражена в бухгалтерском балансе с уменьшением статей "отсроченная прибыль по мурабаха" и "наценка по мурабаха".</w:t>
      </w:r>
    </w:p>
    <w:p>
      <w:pPr>
        <w:spacing w:after="200" w:before="200"/>
        <w:jc w:val="center"/>
      </w:pPr>
      <w:r>
        <w:rPr>
          <w:rFonts w:ascii="Arial" w:cs="Arial" w:eastAsia="Arial" w:hAnsi="Arial"/>
          <w:b/>
          <w:bCs/>
          <w:sz w:val="24"/>
          <w:szCs w:val="24"/>
        </w:rPr>
        <w:t xml:space="preserve">6. Создание резервов на покрытие потенциальных потерь и убытков и раскрытие информации</w:t>
      </w:r>
    </w:p>
    <w:p>
      <w:pPr>
        <w:spacing w:after="60"/>
        <w:ind w:firstLine="567"/>
        <w:jc w:val="both"/>
      </w:pPr>
      <w:r>
        <w:rPr>
          <w:rFonts w:ascii="Arial" w:cs="Arial" w:eastAsia="Arial" w:hAnsi="Arial"/>
          <w:sz w:val="24"/>
          <w:szCs w:val="24"/>
        </w:rPr>
        <w:t xml:space="preserve">18. Дебиторская задолженность по мурабаха оценивается в конце отчетного периода и равна сумме задолженности за вычетом резервов на покрытие потенциальных потерь и убытков, созданных в соответствии с </w:t>
      </w:r>
      <w:hyperlink w:history="1" r:id="rIdwwehbps5ftjxtadws-brc">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 утвержденным </w:t>
      </w:r>
      <w:hyperlink w:history="1" r:id="rIdtte_dxhsjqpv9pxdvidf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декабря 2009 года № 51/6.</w:t>
      </w:r>
    </w:p>
    <w:p>
      <w:pPr>
        <w:spacing w:after="60"/>
        <w:ind w:firstLine="567"/>
        <w:jc w:val="both"/>
      </w:pPr>
      <w:r>
        <w:rPr>
          <w:rFonts w:ascii="Arial" w:cs="Arial" w:eastAsia="Arial" w:hAnsi="Arial"/>
          <w:sz w:val="24"/>
          <w:szCs w:val="24"/>
        </w:rPr>
        <w:t xml:space="preserve">19. Начисление и признание дохода должно быть приостановлено по договору мурабаха в случаях, предусмотренных </w:t>
      </w:r>
      <w:r>
        <w:rPr>
          <w:rFonts w:ascii="Arial" w:cs="Arial" w:eastAsia="Arial" w:hAnsi="Arial"/>
          <w:sz w:val="24"/>
          <w:szCs w:val="24"/>
        </w:rPr>
        <w:t xml:space="preserve">Порядком</w:t>
      </w:r>
      <w:r>
        <w:rPr>
          <w:rFonts w:ascii="Arial" w:cs="Arial" w:eastAsia="Arial" w:hAnsi="Arial"/>
          <w:sz w:val="24"/>
          <w:szCs w:val="24"/>
        </w:rPr>
        <w:t xml:space="preserve"> придания статуса неначисления процентного дохода, утвержденным </w:t>
      </w:r>
      <w:hyperlink w:history="1" r:id="rIdreyy0ejeiett5g4ry4xq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апреля 2004 года № 11/2.</w:t>
      </w:r>
    </w:p>
    <w:p>
      <w:pPr>
        <w:spacing w:after="60"/>
        <w:ind w:firstLine="567"/>
        <w:jc w:val="both"/>
      </w:pPr>
      <w:r>
        <w:rPr>
          <w:rFonts w:ascii="Arial" w:cs="Arial" w:eastAsia="Arial" w:hAnsi="Arial"/>
          <w:sz w:val="24"/>
          <w:szCs w:val="24"/>
        </w:rPr>
        <w:t xml:space="preserve">20. В целях классификации активов и создания резервов на покрытие потенциальных потерь и убытков под просроченной частью наценки понимается непогашенный в течение 30 дней размер наценки, рассчитанный как разница между статьями бухгалтерского баланса "наценка по мурабаха" и "отсроченная прибыль по мурабаха".</w:t>
      </w:r>
    </w:p>
    <w:p>
      <w:pPr>
        <w:spacing w:after="60"/>
        <w:ind w:firstLine="567"/>
        <w:jc w:val="both"/>
      </w:pPr>
      <w:r>
        <w:rPr>
          <w:rFonts w:ascii="Arial" w:cs="Arial" w:eastAsia="Arial" w:hAnsi="Arial"/>
          <w:sz w:val="24"/>
          <w:szCs w:val="24"/>
        </w:rPr>
        <w:t xml:space="preserve">21. Актив, являющийся объектом договора мурабаха, должен быть переведен в категорию прочей собственности банка в соответствии с </w:t>
      </w:r>
      <w:hyperlink w:history="1" r:id="rIdnwclajn9zxibqxzdwrtkr">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отдельных сделках/операциях коммерческих банков и микрофинансовых компаний Кыргызской Республики с недвижимым имуществом", утвержденным </w:t>
      </w:r>
      <w:hyperlink w:history="1" r:id="rId_1wfafxe6df3suywe520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29 августа 2012 года № 36/2, в случае:</w:t>
      </w:r>
    </w:p>
    <w:p>
      <w:pPr>
        <w:spacing w:after="60"/>
        <w:ind w:firstLine="567"/>
        <w:jc w:val="both"/>
      </w:pPr>
      <w:r>
        <w:rPr>
          <w:rFonts w:ascii="Arial" w:cs="Arial" w:eastAsia="Arial" w:hAnsi="Arial"/>
          <w:sz w:val="24"/>
          <w:szCs w:val="24"/>
        </w:rPr>
        <w:t xml:space="preserve">1) отказа клиента от заключения договора мурабаха после покупки актива банком;</w:t>
      </w:r>
    </w:p>
    <w:p>
      <w:pPr>
        <w:spacing w:after="60"/>
        <w:ind w:firstLine="567"/>
        <w:jc w:val="both"/>
      </w:pPr>
      <w:r>
        <w:rPr>
          <w:rFonts w:ascii="Arial" w:cs="Arial" w:eastAsia="Arial" w:hAnsi="Arial"/>
          <w:sz w:val="24"/>
          <w:szCs w:val="24"/>
        </w:rPr>
        <w:t xml:space="preserve">2) отказа клиента от выполнения обязательств или неплатежеспособности клиента - в счет погашения полной или частичной задолженности по договору мурабаха.</w:t>
      </w:r>
    </w:p>
    <w:p>
      <w:pPr>
        <w:spacing w:after="60"/>
        <w:ind w:firstLine="567"/>
        <w:jc w:val="both"/>
      </w:pPr>
      <w:r>
        <w:rPr>
          <w:rFonts w:ascii="Arial" w:cs="Arial" w:eastAsia="Arial" w:hAnsi="Arial"/>
          <w:sz w:val="24"/>
          <w:szCs w:val="24"/>
        </w:rPr>
        <w:t xml:space="preserve">22. Банку необходимо раскрыть информацию о финансировании по операции мурабаха в финансовой отчетности с целью понимания влияния активов, размещенных по исламским принципам финансирования, на финансовое положение и результаты деятельности банка. Банку следует раскрыть размер, качество, концентрацию и реструктуризацию кредитного портфеля по операции мурабаха, размер активов (товара) для передачи по операции мурабаха, размер отсроченной прибыли по операции мурабаха и любую информацию, являющуюся существенной в рамках деятельности банка.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wdwm1tifeq-fgnk7o-zr">
      <w:r>
        <w:rPr>
          <w:rFonts w:ascii="Arial" w:cs="Arial" w:eastAsia="Arial" w:hAnsi="Arial"/>
          <w:color w:val="132D3F"/>
          <w:sz w:val="16"/>
          <w:szCs w:val="16"/>
          <w:u w:val="single"/>
        </w:rPr>
        <w:t xml:space="preserve">dalil.kg/document/800820</w:t>
      </w:r>
    </w:hyperlink>
  </w:p>
  <w:p>
    <w:pPr>
      <w:spacing w:after="0" w:before="40"/>
      <w:jc w:val="center"/>
    </w:pPr>
    <w:hyperlink w:history="1" r:id="rId2elcfs9m1_opuukhow5l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96he6eto4f77zou35oml" Type="http://schemas.openxmlformats.org/officeDocument/2006/relationships/hyperlink" Target="https://dalil.kg/document/800819" TargetMode="External"/><Relationship Id="rId3jinyrvvaob9vi6-b-7yr" Type="http://schemas.openxmlformats.org/officeDocument/2006/relationships/hyperlink" Target="https://dalil.kg/document/302515" TargetMode="External"/><Relationship Id="rId0qfr-sn95joyqez-oeph_" Type="http://schemas.openxmlformats.org/officeDocument/2006/relationships/hyperlink" Target="https://dalil.kg/document/302514" TargetMode="External"/><Relationship Id="rId0v1dnonegscy44r1i6zhb" Type="http://schemas.openxmlformats.org/officeDocument/2006/relationships/hyperlink" Target="https://dalil.kg/document/302291" TargetMode="External"/><Relationship Id="rIdnkcshsvk3ntqqohdgloeq" Type="http://schemas.openxmlformats.org/officeDocument/2006/relationships/hyperlink" Target="https://dalil.kg/document/301269" TargetMode="External"/><Relationship Id="rIdwwehbps5ftjxtadws-brc" Type="http://schemas.openxmlformats.org/officeDocument/2006/relationships/hyperlink" Target="https://dalil.kg/document/302291" TargetMode="External"/><Relationship Id="rIdtte_dxhsjqpv9pxdvidff" Type="http://schemas.openxmlformats.org/officeDocument/2006/relationships/hyperlink" Target="https://dalil.kg/document/301269" TargetMode="External"/><Relationship Id="rIdreyy0ejeiett5g4ry4xqd" Type="http://schemas.openxmlformats.org/officeDocument/2006/relationships/hyperlink" Target="https://dalil.kg/document/31354" TargetMode="External"/><Relationship Id="rIdnwclajn9zxibqxzdwrtkr" Type="http://schemas.openxmlformats.org/officeDocument/2006/relationships/hyperlink" Target="https://dalil.kg/document/302515" TargetMode="External"/><Relationship Id="rId_1wfafxe6df3suywe520n" Type="http://schemas.openxmlformats.org/officeDocument/2006/relationships/hyperlink" Target="https://dalil.kg/document/30251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wdwm1tifeq-fgnk7o-zr" Type="http://schemas.openxmlformats.org/officeDocument/2006/relationships/hyperlink" Target="https://dalil.kg/document/800820" TargetMode="External"/><Relationship Id="rId2elcfs9m1_opuukhow5l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2026-09-30T19:39:09.207Z</dcterms:created>
  <dcterms:modified xsi:type="dcterms:W3CDTF">2026-09-30T19:39:09.207Z</dcterms:modified>
</cp:coreProperties>
</file>

<file path=docProps/custom.xml><?xml version="1.0" encoding="utf-8"?>
<Properties xmlns="http://schemas.openxmlformats.org/officeDocument/2006/custom-properties" xmlns:vt="http://schemas.openxmlformats.org/officeDocument/2006/docPropsVTypes"/>
</file>