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2021 года № 2021-П-14/75-4-(НПА)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Положения "О банковских платежных картах Кыргызской Республики" от 9 декабря 2015 года № 76/8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ntz8k1ndj_-gno2snm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tuqzfw1fmw9byvmv6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figvvzidvxtryibc8q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sizmjv1y-f13c2fgume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g-a8yqdv0bljdiypxi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абзаца первого пункта 12 Приложения к настоящему постановлению, который вступает в силу с 1 февраля 2022 года, и пункта 46 Приложения к настоящему постановлению, который вступает в силу с 4 мая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ОЮЛ "Союз банков Кыргызстана", ЗАО "Межбанковский Процессинговый Центр", небанковских финансово-кредитных организаций, операторов международных платежных систем расчетов с использованием банковских платежных карт, зарегистрированных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к постановлению Правления Национального банка Кыргызской Республики</w:t>
      </w:r>
      <w:r>
        <w:rPr>
          <w:rFonts w:ascii="Arial" w:cs="Arial" w:eastAsia="Arial" w:hAnsi="Arial"/>
          <w:sz w:val="22"/>
          <w:szCs w:val="22"/>
        </w:rPr>
        <w:t xml:space="preserve">от 29 декабря 2021 года № 2021-П-14/75-4-(НПА)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</w:t>
      </w:r>
      <w:hyperlink w:history="1" r:id="rIdrwxv0oub-bdavw7arpa3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</w:t>
      </w:r>
      <w:hyperlink w:history="1" r:id="rId-_yh_p4sfenin8timdow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 банковских платежных картах в Кыргызской Республике" от 9 декабря 2015 года № 76/8"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brtqa7-kww-esokfpck_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2"/>
          <w:szCs w:val="22"/>
        </w:rPr>
        <w:t xml:space="preserve"> "О банковских платежных картах в Кыргызской Республике", утвержденном вышеуказанным </w:t>
      </w:r>
      <w:hyperlink w:history="1" r:id="rId5ydofnlxwqxx8v9e9f_4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"5.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Автоматизированный терминал самообслуживания (платежный терминал)</w:t>
      </w:r>
      <w:r>
        <w:rPr>
          <w:rFonts w:ascii="Arial" w:cs="Arial" w:eastAsia="Arial" w:hAnsi="Arial"/>
          <w:sz w:val="22"/>
          <w:szCs w:val="22"/>
        </w:rPr>
        <w:t xml:space="preserve"> - терминал, предназначенный для приема (cash-in)/выдачи (cash-out) наличных денежных средств от клиентов/ам банков, держателей/ями карт, пользователей/ями сервисов, включая проведение операций в наличной и безналичной формах в адрес поставщиков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Авторизационный запрос</w:t>
      </w:r>
      <w:r>
        <w:rPr>
          <w:rFonts w:ascii="Arial" w:cs="Arial" w:eastAsia="Arial" w:hAnsi="Arial"/>
          <w:sz w:val="22"/>
          <w:szCs w:val="22"/>
        </w:rPr>
        <w:t xml:space="preserve"> - запрос эмитенту карты на получение разрешения на проведение транзакции от эквайера по установленным правилам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Авторизация</w:t>
      </w:r>
      <w:r>
        <w:rPr>
          <w:rFonts w:ascii="Arial" w:cs="Arial" w:eastAsia="Arial" w:hAnsi="Arial"/>
          <w:sz w:val="22"/>
          <w:szCs w:val="22"/>
        </w:rPr>
        <w:t xml:space="preserve"> - процедура подтверждения эмитентом полномочий или авторства держателя карты на проведение им операции с использованием банковской платежной карты (транзакции), в результате которой возникает обязательство эмитента перед эквайером исполнить расчетный документ, составленный с использованием карты вышеуказанного эмитента. Авторизация может быть автоматизированной (посредством терминала) и голосовой (посредством телефонной связи). В случае если по совершаемой с использованием банковской платежной карты операции эмитент и эквайер являются одним и тем же лицом, то авторизация является разрешением, предоставляемым эмитентом клиенту на совершение данной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Аутентификация</w:t>
      </w:r>
      <w:r>
        <w:rPr>
          <w:rFonts w:ascii="Arial" w:cs="Arial" w:eastAsia="Arial" w:hAnsi="Arial"/>
          <w:sz w:val="22"/>
          <w:szCs w:val="22"/>
        </w:rPr>
        <w:t xml:space="preserve"> - процедура установки подлинности личности пользователя, путем проверки и сопоставления характеристик предъявленного идентификатора (PIN-код, пароль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Банковская платежная карта (карта)</w:t>
      </w:r>
      <w:r>
        <w:rPr>
          <w:rFonts w:ascii="Arial" w:cs="Arial" w:eastAsia="Arial" w:hAnsi="Arial"/>
          <w:sz w:val="22"/>
          <w:szCs w:val="22"/>
        </w:rPr>
        <w:t xml:space="preserve"> - платежный инструмент, используемый при проведении расчетов при покупке товаров, услуг, получении наличных денег в национальной и иностранной валютах, осуществлении денежных переводов, а также для расчетов в форме электронных денег через терминалы, банкоматы или иные устройства (периферийные устройства).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Банковский киоск</w:t>
      </w:r>
      <w:r>
        <w:rPr>
          <w:rFonts w:ascii="Arial" w:cs="Arial" w:eastAsia="Arial" w:hAnsi="Arial"/>
          <w:sz w:val="22"/>
          <w:szCs w:val="22"/>
        </w:rPr>
        <w:t xml:space="preserve"> - специальное сооружение/оборудование, в котором размещено периферийное 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Банковский счет</w:t>
      </w:r>
      <w:r>
        <w:rPr>
          <w:rFonts w:ascii="Arial" w:cs="Arial" w:eastAsia="Arial" w:hAnsi="Arial"/>
          <w:sz w:val="22"/>
          <w:szCs w:val="22"/>
        </w:rPr>
        <w:t xml:space="preserve"> - это способ отражения договорных отношений между банком и клиентом по приему банковского вклада (депозита) и/или по совершению банком операций, связанных с осуществлением банковского обслуживания клиента, включая проведение платежей и расчетов с использованием банковских платежных карт, предусмотренное договором банковского счета, банковского вклада, законодательством Кыргызской Республики и применяемое в банковской практике обычаями делового 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Банкомат (ATM - Automated teller machine)</w:t>
      </w:r>
      <w:r>
        <w:rPr>
          <w:rFonts w:ascii="Arial" w:cs="Arial" w:eastAsia="Arial" w:hAnsi="Arial"/>
          <w:sz w:val="22"/>
          <w:szCs w:val="22"/>
        </w:rPr>
        <w:t xml:space="preserve"> - аппаратно-программный комплекс, предназначенный для выдачи и/или приема наличных денежных средств, получения информации по совершенным транзакциям и совершения других операций с использованием карты или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Бесконтактный платеж</w:t>
      </w:r>
      <w:r>
        <w:rPr>
          <w:rFonts w:ascii="Arial" w:cs="Arial" w:eastAsia="Arial" w:hAnsi="Arial"/>
          <w:sz w:val="22"/>
          <w:szCs w:val="22"/>
        </w:rPr>
        <w:t xml:space="preserve"> - транзакция, осуществляемая посредством считывания периферийным устройством информации с карты или иного инструмента дистанционного обслуживания на близком расстоянии с использованием технологии беспроводной передачи данных (NFC (Near field communication) или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Виртуальная карта</w:t>
      </w:r>
      <w:r>
        <w:rPr>
          <w:rFonts w:ascii="Arial" w:cs="Arial" w:eastAsia="Arial" w:hAnsi="Arial"/>
          <w:sz w:val="22"/>
          <w:szCs w:val="22"/>
        </w:rPr>
        <w:t xml:space="preserve"> - специальная карта, выпускаемая в электронном виде без физического носителя.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Виртуальный POS-терминал</w:t>
      </w:r>
      <w:r>
        <w:rPr>
          <w:rFonts w:ascii="Arial" w:cs="Arial" w:eastAsia="Arial" w:hAnsi="Arial"/>
          <w:sz w:val="22"/>
          <w:szCs w:val="22"/>
        </w:rPr>
        <w:t xml:space="preserve"> - веб-интерфейс, заменяющий физический POS-терминал и взаимодействующий с системой банка для совершения операций по оплате за товары и услуги посредством банковских платежных карт и других инструментов дистанционного обслуживания. Виртуальный POS-терминал может также использоваться для пополнения банковских счетов с учетом критериев оценки степени (уровня) риска банка, согласно внутренним нормативным документам, а также соблюдения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Владелец банковского счета</w:t>
      </w:r>
      <w:r>
        <w:rPr>
          <w:rFonts w:ascii="Arial" w:cs="Arial" w:eastAsia="Arial" w:hAnsi="Arial"/>
          <w:sz w:val="22"/>
          <w:szCs w:val="22"/>
        </w:rPr>
        <w:t xml:space="preserve"> - физическое/юридическое лицо/индивидуальный предприниматель, заключившее/ий договор на открытие банковского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Дебетовая карта</w:t>
      </w:r>
      <w:r>
        <w:rPr>
          <w:rFonts w:ascii="Arial" w:cs="Arial" w:eastAsia="Arial" w:hAnsi="Arial"/>
          <w:sz w:val="22"/>
          <w:szCs w:val="22"/>
        </w:rPr>
        <w:t xml:space="preserve"> - карта, предназначенная для совершения операций за счет собственных денежных средств, находящихся на банковском счете, и/или кредита, предоставляемого банком-эмитентом клиенту при недостаточности или отсутствии на банковском счете денежных средств (овердрафт). Услуга овердрафта предоставляется только на дебетовых картах.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Держатель карты (картодержатель)</w:t>
      </w:r>
      <w:r>
        <w:rPr>
          <w:rFonts w:ascii="Arial" w:cs="Arial" w:eastAsia="Arial" w:hAnsi="Arial"/>
          <w:sz w:val="22"/>
          <w:szCs w:val="22"/>
        </w:rPr>
        <w:t xml:space="preserve"> - клиент банка, физическое лицо, в том числе уполномоченное юридическим лицом/индивидуальным предпринимателем-владельцем счета, имеющий/ее право совершать операции с использованием карты на основании заключенного договора с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Единый межбанковский процессинговый центр (ЕМПЦ)</w:t>
      </w:r>
      <w:r>
        <w:rPr>
          <w:rFonts w:ascii="Arial" w:cs="Arial" w:eastAsia="Arial" w:hAnsi="Arial"/>
          <w:sz w:val="22"/>
          <w:szCs w:val="22"/>
        </w:rPr>
        <w:t xml:space="preserve"> - аппаратно-программный комплекс национальной платежной системы Кыргызской Республики "ЭЛКАРТ", предназначенный для процессинга/клиринга транзакций, совершенных с использованием карт "ЭЛКАРТ", а также карт других систем, в том числе интегрированных с системой ЕМПЦ.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Индент печать</w:t>
      </w:r>
      <w:r>
        <w:rPr>
          <w:rFonts w:ascii="Arial" w:cs="Arial" w:eastAsia="Arial" w:hAnsi="Arial"/>
          <w:sz w:val="22"/>
          <w:szCs w:val="22"/>
        </w:rPr>
        <w:t xml:space="preserve"> - один из способов персонализации карт, при котором на карте печатаются различные символы, не имеющие рельефа, т.е. символы не выступают на поверхности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Карт-чек (чек)</w:t>
      </w:r>
      <w:r>
        <w:rPr>
          <w:rFonts w:ascii="Arial" w:cs="Arial" w:eastAsia="Arial" w:hAnsi="Arial"/>
          <w:sz w:val="22"/>
          <w:szCs w:val="22"/>
        </w:rPr>
        <w:t xml:space="preserve"> - документ на бумажном носителе и/или в электронном виде, сформированный периферийным устройством при проведении транзакции с использованием карты или инструментов дистанционного обслуживания, являющийся основанием для осуществления расчетов по транзакции и служащий подтверждением ее совершения. Для снижения риска мошенничества чек не должен содержать всю информацию о номере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Ко-бейджинговая карта</w:t>
      </w:r>
      <w:r>
        <w:rPr>
          <w:rFonts w:ascii="Arial" w:cs="Arial" w:eastAsia="Arial" w:hAnsi="Arial"/>
          <w:sz w:val="22"/>
          <w:szCs w:val="22"/>
        </w:rPr>
        <w:t xml:space="preserve"> - карта, выпущенная в рамках двух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Ко-брендинговая карта</w:t>
      </w:r>
      <w:r>
        <w:rPr>
          <w:rFonts w:ascii="Arial" w:cs="Arial" w:eastAsia="Arial" w:hAnsi="Arial"/>
          <w:sz w:val="22"/>
          <w:szCs w:val="22"/>
        </w:rPr>
        <w:t xml:space="preserve"> - карта, выпущенная банком совместно с какой-либо организацией/ями.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Кредитная карта</w:t>
      </w:r>
      <w:r>
        <w:rPr>
          <w:rFonts w:ascii="Arial" w:cs="Arial" w:eastAsia="Arial" w:hAnsi="Arial"/>
          <w:sz w:val="22"/>
          <w:szCs w:val="22"/>
        </w:rPr>
        <w:t xml:space="preserve"> - карта, предназначенная для совершения операций, расчеты по которым осуществляются за счет денежных средств, предоставленных банком держателю карты в пределах установленного лимита в соответствии с условиями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Кредитная карта НФКО</w:t>
      </w:r>
      <w:r>
        <w:rPr>
          <w:rFonts w:ascii="Arial" w:cs="Arial" w:eastAsia="Arial" w:hAnsi="Arial"/>
          <w:sz w:val="22"/>
          <w:szCs w:val="22"/>
        </w:rPr>
        <w:t xml:space="preserve"> - предвыпущенная кредитная карта, выпускаемая банком для небанковских финансово-кредитных организаций (далее - НФКО), имеющих лицензию/свидетельство Национального банка на право проведения банковских операций по выдаче/погашению по собственным выдаваемым кредитам в соответствии с условиями кредитного договора/договора финансирования с эмитентом для последующего их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Локальная платежная система</w:t>
      </w:r>
      <w:r>
        <w:rPr>
          <w:rFonts w:ascii="Arial" w:cs="Arial" w:eastAsia="Arial" w:hAnsi="Arial"/>
          <w:sz w:val="22"/>
          <w:szCs w:val="22"/>
        </w:rPr>
        <w:t xml:space="preserve"> - система расчетов с использованием карт, выпускаемых одним (одноэмитентная) или несколькими (многоэмитентная) эмитентами на территории Кыргызской Республики. Карты локальных систем могут обслуживаться в периферийных устройствах согласно условиям договора между участниками 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Международная платежная система расчетов с использованием банковских платежных карт (международная платежная система)</w:t>
      </w:r>
      <w:r>
        <w:rPr>
          <w:rFonts w:ascii="Arial" w:cs="Arial" w:eastAsia="Arial" w:hAnsi="Arial"/>
          <w:sz w:val="22"/>
          <w:szCs w:val="22"/>
        </w:rPr>
        <w:t xml:space="preserve"> - система расчетов с использованием международных карт, эмитируемых и обслуживаемых в соответствии с требованиями операторов данных систем и законодательством Кыргызской Республики. Системой устанавливаются определенные правила осуществления взаимных расчетов в иностранной валюте по платежам с использованием карт между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Многофакторная аутентификация</w:t>
      </w:r>
      <w:r>
        <w:rPr>
          <w:rFonts w:ascii="Arial" w:cs="Arial" w:eastAsia="Arial" w:hAnsi="Arial"/>
          <w:sz w:val="22"/>
          <w:szCs w:val="22"/>
        </w:rPr>
        <w:t xml:space="preserve"> - расширенная аутентификация, метод контроля доступа, в котором пользователю для получения доступа к информации необходимо предъявить более одного идентификатора.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Мобильный POS-терминал (mPOS)</w:t>
      </w:r>
      <w:r>
        <w:rPr>
          <w:rFonts w:ascii="Arial" w:cs="Arial" w:eastAsia="Arial" w:hAnsi="Arial"/>
          <w:sz w:val="22"/>
          <w:szCs w:val="22"/>
        </w:rPr>
        <w:t xml:space="preserve"> - устройство и/или программное обеспечение для смартфонов/планшетных компьютеров и иных устройств, позволяющее проводить транзакции.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Национальная карта</w:t>
      </w:r>
      <w:r>
        <w:rPr>
          <w:rFonts w:ascii="Arial" w:cs="Arial" w:eastAsia="Arial" w:hAnsi="Arial"/>
          <w:sz w:val="22"/>
          <w:szCs w:val="22"/>
        </w:rPr>
        <w:t xml:space="preserve"> - карта платежной системы "ЭЛКАРТ", выпускаемая любым эмитентом-резидентом Кыргызской Республики, заключившим соответствующий договор с оператором национальной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Национальная платежная система по расчетам банковскими платежными картами</w:t>
      </w:r>
      <w:r>
        <w:rPr>
          <w:rFonts w:ascii="Arial" w:cs="Arial" w:eastAsia="Arial" w:hAnsi="Arial"/>
          <w:sz w:val="22"/>
          <w:szCs w:val="22"/>
        </w:rPr>
        <w:t xml:space="preserve"> - система расчетов по операциям с использованием национальных карт системы "ЭЛКАРТ", функционирующая на базе аппаратно-программного комплекса Единого межбанковского процессингового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Обезличенные металлические счета</w:t>
      </w:r>
      <w:r>
        <w:rPr>
          <w:rFonts w:ascii="Arial" w:cs="Arial" w:eastAsia="Arial" w:hAnsi="Arial"/>
          <w:sz w:val="22"/>
          <w:szCs w:val="22"/>
        </w:rPr>
        <w:t xml:space="preserve"> - это счета, открываемые банком для учета драгоценных металлов без указания индивидуальных признаков и совершения операций по привлечению и размещению драгоценных металлов.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Овердрафт</w:t>
      </w:r>
      <w:r>
        <w:rPr>
          <w:rFonts w:ascii="Arial" w:cs="Arial" w:eastAsia="Arial" w:hAnsi="Arial"/>
          <w:sz w:val="22"/>
          <w:szCs w:val="22"/>
        </w:rPr>
        <w:t xml:space="preserve"> - форма краткосрочного кредита, предоставление которого дает возможность клиенту осуществлять платежи сверх суммы, имеющейся на счете клиента, в пределах сумм и на условиях, определенных договором между банком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Оператор национальной платежной системы</w:t>
      </w:r>
      <w:r>
        <w:rPr>
          <w:rFonts w:ascii="Arial" w:cs="Arial" w:eastAsia="Arial" w:hAnsi="Arial"/>
          <w:sz w:val="22"/>
          <w:szCs w:val="22"/>
        </w:rPr>
        <w:t xml:space="preserve"> - Закрытое акционерное общество "Межбанковский Процессинговый Центр" (ЗАО "МПЦ").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Оператор системы расчетов с использованием банковских платежных карт</w:t>
      </w:r>
      <w:r>
        <w:rPr>
          <w:rFonts w:ascii="Arial" w:cs="Arial" w:eastAsia="Arial" w:hAnsi="Arial"/>
          <w:sz w:val="22"/>
          <w:szCs w:val="22"/>
        </w:rPr>
        <w:t xml:space="preserve"> - юридическое лицо, имеющее лицензию и/или разрешение Национального банка на осуществление деятельности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центра, обеспечивающее функционирование системы расчетов банковскими платежными картами и заключившее с участниками договор об участии в системе, согласно которому оператор и участники системы обязуются осуществлять свою деятельность в рамках платежной системы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Периферийные устройства</w:t>
      </w:r>
      <w:r>
        <w:rPr>
          <w:rFonts w:ascii="Arial" w:cs="Arial" w:eastAsia="Arial" w:hAnsi="Arial"/>
          <w:sz w:val="22"/>
          <w:szCs w:val="22"/>
        </w:rPr>
        <w:t xml:space="preserve"> - терминалы, банкоматы, платежные терминалы и иные устройства, составляющие техническую инфраструктуру по приему и обслуживанию банковских платежных карт 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Персонализация</w:t>
      </w:r>
      <w:r>
        <w:rPr>
          <w:rFonts w:ascii="Arial" w:cs="Arial" w:eastAsia="Arial" w:hAnsi="Arial"/>
          <w:sz w:val="22"/>
          <w:szCs w:val="22"/>
        </w:rPr>
        <w:t xml:space="preserve"> - процедура нанесения на карту и/или запись в память микропроцессора и/или на магнитную полосу карты идентификационной информации, предусмотренной регламентом и порядком работы соответствующей платежной системы расчетов с использованием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Платежная система расчетов с использованием банковских платежных карт (система расчетов с использованием карт)</w:t>
      </w:r>
      <w:r>
        <w:rPr>
          <w:rFonts w:ascii="Arial" w:cs="Arial" w:eastAsia="Arial" w:hAnsi="Arial"/>
          <w:sz w:val="22"/>
          <w:szCs w:val="22"/>
        </w:rPr>
        <w:t xml:space="preserve"> - совокупность норм, стандартов, правил, учреждений и программно-технических средств для организации расчетов с использованием карт. Платежные системы подразделяются на локальные, национальную и международные.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Пользователь кредитной карты НФКО</w:t>
      </w:r>
      <w:r>
        <w:rPr>
          <w:rFonts w:ascii="Arial" w:cs="Arial" w:eastAsia="Arial" w:hAnsi="Arial"/>
          <w:sz w:val="22"/>
          <w:szCs w:val="22"/>
        </w:rPr>
        <w:t xml:space="preserve"> - клиент (физическое/юридическое лицо), которому НФКО выдает денежные средства (кредит/финансирование) на кредитные карты НФКО и принимает погашения, согласно заключенному договору и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 услуг</w:t>
      </w:r>
      <w:r>
        <w:rPr>
          <w:rFonts w:ascii="Arial" w:cs="Arial" w:eastAsia="Arial" w:hAnsi="Arial"/>
          <w:sz w:val="22"/>
          <w:szCs w:val="22"/>
        </w:rPr>
        <w:t xml:space="preserve"> - юридическое лицо или индивидуальный предприниматель, получающее/ий денежные средства клиента за реализуемые товары, выполняемые работы,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Предвыпущенная карта</w:t>
      </w:r>
      <w:r>
        <w:rPr>
          <w:rFonts w:ascii="Arial" w:cs="Arial" w:eastAsia="Arial" w:hAnsi="Arial"/>
          <w:sz w:val="22"/>
          <w:szCs w:val="22"/>
        </w:rPr>
        <w:t xml:space="preserve"> - карта моментальной выдачи в отделении банка/НФКО (кредитные карты НФКО) без указания фамилии и имени держателя карты на поверхности карты и сроком не более 3 (трех) лет, обеспечивающая доступ к счету, который открывается на конкретного клиента, и предназначенная для получения денежных переводов, получения наличных денежных средств посредством периферийных устройств, оплаты покупок в торговых точках безналичным путем, проведения операций через интернет в соответствии с требованиями настоящего Положения и законодательством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Предоплаченная карта</w:t>
      </w:r>
      <w:r>
        <w:rPr>
          <w:rFonts w:ascii="Arial" w:cs="Arial" w:eastAsia="Arial" w:hAnsi="Arial"/>
          <w:sz w:val="22"/>
          <w:szCs w:val="22"/>
        </w:rPr>
        <w:t xml:space="preserve"> - платежный инструмент, позволяющий использовать электронные деньги для совершения операций по покупке товаров/услуг и обмена на наличные денежные средства через программно-технические устройства. Карта удостоверяет право требования держателя карты к эмитенту электронных денег по его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Процессинг</w:t>
      </w:r>
      <w:r>
        <w:rPr>
          <w:rFonts w:ascii="Arial" w:cs="Arial" w:eastAsia="Arial" w:hAnsi="Arial"/>
          <w:sz w:val="22"/>
          <w:szCs w:val="22"/>
        </w:rPr>
        <w:t xml:space="preserve"> - лицензируемая деятельность, включающая в себя взаимосвязанные процессы по приему, обработке и выдаче участникам платежной системы финансовой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Процессинговый центр</w:t>
      </w:r>
      <w:r>
        <w:rPr>
          <w:rFonts w:ascii="Arial" w:cs="Arial" w:eastAsia="Arial" w:hAnsi="Arial"/>
          <w:sz w:val="22"/>
          <w:szCs w:val="22"/>
        </w:rPr>
        <w:t xml:space="preserve"> - юридическое лицо, осуществляющее процессинг.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Расчетный агент</w:t>
      </w:r>
      <w:r>
        <w:rPr>
          <w:rFonts w:ascii="Arial" w:cs="Arial" w:eastAsia="Arial" w:hAnsi="Arial"/>
          <w:sz w:val="22"/>
          <w:szCs w:val="22"/>
        </w:rPr>
        <w:t xml:space="preserve"> - организация, обеспечивающая проведение окончательных расчетов между участниками системы расчетов с использованием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Стоп-лист</w:t>
      </w:r>
      <w:r>
        <w:rPr>
          <w:rFonts w:ascii="Arial" w:cs="Arial" w:eastAsia="Arial" w:hAnsi="Arial"/>
          <w:sz w:val="22"/>
          <w:szCs w:val="22"/>
        </w:rPr>
        <w:t xml:space="preserve"> - список заблокированных карт, по которым приостановлено или временно приостановлено совершение всех видов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Терминал</w:t>
      </w:r>
      <w:r>
        <w:rPr>
          <w:rFonts w:ascii="Arial" w:cs="Arial" w:eastAsia="Arial" w:hAnsi="Arial"/>
          <w:sz w:val="22"/>
          <w:szCs w:val="22"/>
        </w:rPr>
        <w:t xml:space="preserve"> - аппаратно-программный комплекс, позволяющий совершать транзакции путем считывания данных с карт и других инструментов дистанционного обслуживания. Терминал делится на следующие виды: POS-терминал; POS-терминал-ПВН; виртуальный POS-терминал, мобильный POS-терминал и терминал-ПВН.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Терминал-ПВН</w:t>
      </w:r>
      <w:r>
        <w:rPr>
          <w:rFonts w:ascii="Arial" w:cs="Arial" w:eastAsia="Arial" w:hAnsi="Arial"/>
          <w:sz w:val="22"/>
          <w:szCs w:val="22"/>
        </w:rPr>
        <w:t xml:space="preserve"> - терминал для выдачи наличных денежных средств с карт и других инструментов дистанционного обслуживания, а также пополнения банковского счета при помощи карты и других инструментов дистанционного обслуживания в отделениях банка и его агентов с учетом критериев оценки степени (уровня) риска банка, согласно внутренним нормативным документам, а также соблюдения требований законодательства Кыргызской Республики. Комиссия за обналичивание через терминал-ПВН для последующего проведения платежа не должна перекладываться на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Торгово-сервисное предприятие (ТСП)</w:t>
      </w:r>
      <w:r>
        <w:rPr>
          <w:rFonts w:ascii="Arial" w:cs="Arial" w:eastAsia="Arial" w:hAnsi="Arial"/>
          <w:sz w:val="22"/>
          <w:szCs w:val="22"/>
        </w:rPr>
        <w:t xml:space="preserve"> - юридическое лицо или индивидуальный предприниматель, которое/ый в соответствии с заключенным с эквайером договором принимает карты для оплаты за свои товары/услуги, выдачи наличных денежных средств с составлением документов, подтверждающих совершение операций с картами. Денежные средства, находящиеся на карте, могут выдаваться только при наличии агентского договора с коммерческими банками и в соответствии с лимитами, установленными нормативными правовыми актами Национального банка, при условии соблюдения требований законодательства Кыргызской Республики по вопросам ПФТД/ЛПД в части проведения агентом соответствующих мероприятий по упрощенной идентификации и верификации держателя карты с применением риск-ориентированного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Транзакция</w:t>
      </w:r>
      <w:r>
        <w:rPr>
          <w:rFonts w:ascii="Arial" w:cs="Arial" w:eastAsia="Arial" w:hAnsi="Arial"/>
          <w:sz w:val="22"/>
          <w:szCs w:val="22"/>
        </w:rPr>
        <w:t xml:space="preserve"> - операция с использованием карты и других инструментов дистанционного обслуживания (например, покупка товаров, услуг, перевод денежных средств, обмен валют или получение наличных денежных средств), в результате которой происходит изменение остатка денежных средств на счете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Участники системы расчетов с использованием карт</w:t>
      </w:r>
      <w:r>
        <w:rPr>
          <w:rFonts w:ascii="Arial" w:cs="Arial" w:eastAsia="Arial" w:hAnsi="Arial"/>
          <w:sz w:val="22"/>
          <w:szCs w:val="22"/>
        </w:rPr>
        <w:t xml:space="preserve"> - эмитент, держатель карты, эквайер, ТСП, процессинговый центр и расчетный агент.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Чарджбек</w:t>
      </w:r>
      <w:r>
        <w:rPr>
          <w:rFonts w:ascii="Arial" w:cs="Arial" w:eastAsia="Arial" w:hAnsi="Arial"/>
          <w:sz w:val="22"/>
          <w:szCs w:val="22"/>
        </w:rPr>
        <w:t xml:space="preserve"> - возвратный или претензионный платеж, отказ эмитента от осуществления платежа по транзакции, проведенной с нарушением правил платежной системы (оспариваемой транзакции). Чарджбек осуществляется в установленный регламентом срок исполнения путем дебетования счета эквайера на сумму оспариваемой транзакции с оформлением документов, требуемых правилами соответствующей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Эквайер</w:t>
      </w:r>
      <w:r>
        <w:rPr>
          <w:rFonts w:ascii="Arial" w:cs="Arial" w:eastAsia="Arial" w:hAnsi="Arial"/>
          <w:sz w:val="22"/>
          <w:szCs w:val="22"/>
        </w:rPr>
        <w:t xml:space="preserve"> - банк, получивший разрешение на осуществление эквайринга, владелец сети периферийных устройств, обеспечивающий возможность проведения авторизации или транзакций через свои периферийные устройства в соответствии с технологией и нормативными актами соответствующих платежных систем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Эквайринг</w:t>
      </w:r>
      <w:r>
        <w:rPr>
          <w:rFonts w:ascii="Arial" w:cs="Arial" w:eastAsia="Arial" w:hAnsi="Arial"/>
          <w:sz w:val="22"/>
          <w:szCs w:val="22"/>
        </w:rPr>
        <w:t xml:space="preserve"> - деятельность банка, связанная с осуществлением расчетов с использованием банковских платежных карт, обеспечивающая возможность проведения авторизации и проведения транзакции через периферийные устройства, а также заключения договорных отношений с ТСП в соответствии с технологиями и нормативными актами соответствующих платежных систем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Эмбоссирование</w:t>
      </w:r>
      <w:r>
        <w:rPr>
          <w:rFonts w:ascii="Arial" w:cs="Arial" w:eastAsia="Arial" w:hAnsi="Arial"/>
          <w:sz w:val="22"/>
          <w:szCs w:val="22"/>
        </w:rPr>
        <w:t xml:space="preserve"> - нанесение данных на карту в виде рельефных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Эмиссия карт</w:t>
      </w:r>
      <w:r>
        <w:rPr>
          <w:rFonts w:ascii="Arial" w:cs="Arial" w:eastAsia="Arial" w:hAnsi="Arial"/>
          <w:sz w:val="22"/>
          <w:szCs w:val="22"/>
        </w:rPr>
        <w:t xml:space="preserve"> - деятельность банка по выпуску карт для последующего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Эмитент</w:t>
      </w:r>
      <w:r>
        <w:rPr>
          <w:rFonts w:ascii="Arial" w:cs="Arial" w:eastAsia="Arial" w:hAnsi="Arial"/>
          <w:sz w:val="22"/>
          <w:szCs w:val="22"/>
        </w:rPr>
        <w:t xml:space="preserve"> - банк, осуществляющий выпуск карт в соответствии с технологией и правилами соответствующих платежных систем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CVV2-код (Card verification value)</w:t>
      </w:r>
      <w:r>
        <w:rPr>
          <w:rFonts w:ascii="Arial" w:cs="Arial" w:eastAsia="Arial" w:hAnsi="Arial"/>
          <w:sz w:val="22"/>
          <w:szCs w:val="22"/>
        </w:rPr>
        <w:t xml:space="preserve"> - трехзначный код для проверки подлинности карты, запрашиваемый при оплате через интернет и иных операциях.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PIN-код (Personal identification number)</w:t>
      </w:r>
      <w:r>
        <w:rPr>
          <w:rFonts w:ascii="Arial" w:cs="Arial" w:eastAsia="Arial" w:hAnsi="Arial"/>
          <w:sz w:val="22"/>
          <w:szCs w:val="22"/>
        </w:rPr>
        <w:t xml:space="preserve"> - персональный идентификационный номер, позволяющий аутентифицировать пользователя для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POS-терминал (Point of sale)</w:t>
      </w:r>
      <w:r>
        <w:rPr>
          <w:rFonts w:ascii="Arial" w:cs="Arial" w:eastAsia="Arial" w:hAnsi="Arial"/>
          <w:sz w:val="22"/>
          <w:szCs w:val="22"/>
        </w:rPr>
        <w:t xml:space="preserve"> - терминал для приема оплаты за товары и услуги в ТСП с использованием карты 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POS-терминал-ПВН</w:t>
      </w:r>
      <w:r>
        <w:rPr>
          <w:rFonts w:ascii="Arial" w:cs="Arial" w:eastAsia="Arial" w:hAnsi="Arial"/>
          <w:sz w:val="22"/>
          <w:szCs w:val="22"/>
        </w:rPr>
        <w:t xml:space="preserve"> - терминал, выполняющий две функции: POS-терминал и ПВН-терминал.";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"7. В зависимости от регламента и порядка работы платежной системы, а также по типу расчетной схемы карта может быть дебетовой, кредитной, предвыпущенной, предоплаченной, ко-бейджинговой и/или ко-брендинговой. Карта также может быть выпущена эмитентом в электронном виде (виртуальная карта). Коммерческие банки должны иметь внутренние процедуры по операциям с виртуальными картами, включая правила безопасности их проведения 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Карта позволяет ее держателю проводить операции по оплате за товары и услуги, включая покупки в интернете, получению наличных денежных средств через периферийные устройства или иные устройства, а также является средством доступа к банковскому счету для управления ее держателем денежными средствами, находящимися на банковском счете, в том числе для учета и совершения операций с драгоценными металлами, размещенными на обезличенном металлическом счете, который открыт у эмитента, в соответствии с законодательством Кыргызской Республики и договором между держателем карты и эмитентом.";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пункт 8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"Условия конвертации должны быть установлены в договоре с держателем карты.";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"13. Карта должна содержать обязательные реквизиты на поверхности карты: наименование эмитента, номер карты, фамилию и имя держателя карты, наименование компании (для карт, привязанных к счетам юридических лиц/индивидуальных предпринимателей, если применимо), срок действия карты, принадлежность к платежной системе и иные реквизиты, предусмотренные требованиями соответствующей платежной системы. Требования данного пункта не распространяются на закрытые одноэмитентные внутрибанковские системы, а также на виртуальные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Допускается отсутствие фамилии и имени держателя карты, если карта предвыпущенная при однозначной идентификации владельца карты в банке-эмитенте/НФКО.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Проведение транзакций посредством предвыпущенной карты через периферийные устройства и мобильные приложения участников платежных систем осуществляется с использованием PIN-кода, паролей или других способов аутентификации.";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"15. Держатель карты в соответствии с заключенным с эмитентом договором посредством карты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оплатить за приобретенные товары и услуги в ТСП, совершать интернет-покупки;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получить наличные денежные средства через банкоматы/терминалы-ПВН и у агентов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переводы денежных средств со своего банковского счета на счет получателя (с карты на карту, электронный кошелек)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денежные переводы через системы денежных переводов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проводить платежи посредством систем удаленного/дистанционного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производить пополнение карты через кассы банков, агентов, предоставляющих расширенный спектр банковских розничных услуг, платежные терминалы, банкоматы, системы денежных переводов и электронные кошельки.";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пункт 15-1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первое предложение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"ТСП принимает карты для оплаты за свои товары и услуги и осуществляет обмен информацией с эквайером через периферийные устройства, установленные в данном ТСП, с обязательным проведением электронной авторизации.";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"17. Платеж посредством карты, совершенный через периферийные устройства, имеет статус электронного платежного документа и подтверждается оформлением чека, который должен содержать следующие обязательные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номер документа, дату и время совершения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(код) торговой точки/банкомата и эквайера;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сумму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валюту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код, подтверждающий авторизацию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размер комиссии или скидки (в соответствии с тарифами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реквизиты платежной карты в соответствии с правилами безопасности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подпись держателя карты (при операциях через терминал-ПВН или POS-терминал в соответствии с требованиями законодательства Кыргызской Республики и правилами платежной системы). В случае если операция проводится с вводом PIN-кода, чек должен содержать соответствующую информацию и подпись держателя карты может не запрашиваться.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Чек может содержать дополнительные реквизиты, если это предусмотрено регламентом и порядком работы соответствующих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Данное требование не распространяется на бесконтактные платежи и операции электронной коммерции.";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"18. Эквайер должен обеспечить оснащение периферийных устройств средствами защиты для предупреждения попыток мошенничества и сохранности данных карт. В случае если эквайер не обеспечит сохранности данных карт (обслуживание карт с микропроцессором, многофакторная аутентификация, средства защиты периферийного устройства и т.д.), то он обязан, если иное не предусмотрено правилами платежной системы, возместить убытки эмитенту карты, понесенные в результате компрометации данных карты в устройстве эквайера. При этом эмитент должен предоставить подтверждение факта компрометации в устройстве эквайера.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Эквайер освобождается от ответственности за убытки, возникшие по карте с момента уведомления эмитента, а также в случаях если эмитент не поддерживает дополнительные средства защиты карты и в действиях эквайера не выявлено признаков осуществления несанкционированных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Ответственность по скомпрометированным картам перед держателем карты возлагается на эмитента.";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первое предложение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"В случае признания платежа ошибочным или несанкционированным после проведения окончательных расчетов платежная система должна предусматривать отдельную процедуру по обязательному возврату денежных средств держателю карты на его банковский счет и последующему урегулированию спора по таким платежам, а также отдельную процедуру по возврату денежных средств пользователям кредитных карт НФКО, не имеющим банковского счета, в том числе по платежам, совершенным через мобильные приложения или другие инструменты дистанционного обслуживания.";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во втором предложении абзаца первого пункта 22 слово "банковских"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в пункте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слова "свыше 50%"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слово "карты" заменить словами "платежной системы";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слово "Элкарт" заменить словом "ЭЛКАРТ";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13) абзац первый пункта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"Банк может выпускать карты, имеющие различные расчетные схемы (программы): дебетовые, дебетно-кредитные, кредитные, предвыпущенные, предоплаченные, ко-бейджинговые и/или ко-брендинговые, а также виртуальные.";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14)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"29. Эмитент осуществляет выпуск и предоставляет держателю карты в пользование (распространение) карту на основании соответствующего заявления владельца счета и договора банковского счета, заключенного с владельцем счета. Банковская платежная карта является собственностью эмитента, передается держателю карты в пользование в соответствии с условиями договора и блокируется/изымается эмитентом по окончании срока действия карты или закрытия банковского счета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выдаче карты банком проводится идентификация и верификация клиента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Передача PIN-кода, виртуальной карты (реквизиты карты, PIN-кода и иной информации) держателю карты устанавливается внутренними нормативными документами эмитента и правилами платежной системы при соблюдении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Кредитные карты, эмитированные банком для НФКО, являются собственностью эмитента, что должно быть установлено в договоре между банком и НФКО. Процесс передачи карт клиентам для их последующего использования и изъятия по окончании срока действия карты или в случае прекращения обслуживания осуществляется НФКО.";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15)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"30. Перевыпуск банковских платежных карт, за исключением предвыпущенных карт, осуществляется эмитентом на основании заявления владельца банковского счета, а также по инициативе Банка, если банк берет на себя всю ответственность в случае возникновения несанкционированных операций по данной карте или претензий держателя карты. Заявление владельца банковского счета на перевыпуск карты может быть представлено в банк в виде сканированной копии с подписью владельца по факсу, электронной почте или в виде электронного заявления посредством системы дистанционного банковского обслуживания в соответствии с нормативными правовыми актами Национального банка, а также внутренними правилами или процедурами банка и договором с клиентом.";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16) первое предложение пункта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"При заключении договора и открытии банковского счета эмитент обязан идентифицировать держателя карты в соответствии с требованиями к политике "знай своего клиента", установленными </w:t>
      </w:r>
      <w:r>
        <w:rPr>
          <w:rFonts w:ascii="Arial" w:cs="Arial" w:eastAsia="Arial" w:hAnsi="Arial"/>
          <w:sz w:val="22"/>
          <w:szCs w:val="22"/>
        </w:rPr>
        <w:t xml:space="preserve">Приложением 1 </w:t>
      </w:r>
      <w:r>
        <w:rPr>
          <w:rFonts w:ascii="Arial" w:cs="Arial" w:eastAsia="Arial" w:hAnsi="Arial"/>
          <w:sz w:val="22"/>
          <w:szCs w:val="22"/>
        </w:rPr>
        <w:t xml:space="preserve">к Инструкции по работе с банковскими счетами, счетами по банковским вкладам (депозитам), утвержденной </w:t>
      </w:r>
      <w:hyperlink w:history="1" r:id="rIdoysx58i7gf61z6essjku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31 октября 2012 года № 41/12 и законодательством Кыргызской Республики, за исключением пользователей кредитных карт НФКО, идентификацию которых осуществляет НФКО, согласно законодательству по ПФТД/ЛПД.";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17) пункт 31-1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"31-1. Эмитент при выпуске карт для НФКО должен заключить договор с НФКО по надлежащей проверке клиента НФКО и доверию третьим сторонам в соответствии с </w:t>
      </w:r>
      <w:r>
        <w:rPr>
          <w:rFonts w:ascii="Arial" w:cs="Arial" w:eastAsia="Arial" w:hAnsi="Arial"/>
          <w:sz w:val="22"/>
          <w:szCs w:val="22"/>
        </w:rPr>
        <w:t xml:space="preserve">Положением</w:t>
      </w:r>
      <w:r>
        <w:rPr>
          <w:rFonts w:ascii="Arial" w:cs="Arial" w:eastAsia="Arial" w:hAnsi="Arial"/>
          <w:sz w:val="22"/>
          <w:szCs w:val="22"/>
        </w:rPr>
        <w:t xml:space="preserve"> "О порядке проведения надлежащей проверки клиента", утвержденным </w:t>
      </w:r>
      <w:hyperlink w:history="1" r:id="rIdg_zway-bxk6gs5rja-wn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25 декабря 2018 года № 606, и Положением "О минимальных требованиях к организации внутреннего контроля в микрофинансовых организациях, кредитных союзах и специализированных финансовых учреждениях Кыргызской Республики в целях противодействия финансированию террористической деятельности и легализации (отмыванию) преступных доходов", утвержденным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21 августа 2019 года № 2019-П-33/43-6-(НФКУ).";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18)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"32. Эмитент и НФКО обязаны до момента подписания заявления о выдаче карты и заключения договора ознакомить держателя карты/пользователя кредитных карт НФКО: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условиями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правилами по безопасному использованию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тарифами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 способами получения информации о каждой совершенной транзакции, блокировке карт в целях предотвращения несанкционированного доступа к счету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контактной информацией для связи с банком и НФКО в нерабочее время и выходные (праздничные дни);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 сроками зачисления денежных средств на кредитные карты НФКО и моментом начисления процентов (со дня поступления денежных средств/со дня снятия денежных средств с карты/со дня перевода денежных средств, направленных на покупку товара или услуг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порядком погашения кредита в случае если погашение кредита будет осуществляться в выходные и праздничные дни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порядком выдачи денежных средств из кассы банка/НФКО в случае утери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Клиент банка/НФКО письменно или с использованием дистанционного банковского обслуживания подтверждает получение указанной информации. Правила по безопасному использованию карты должны быть включены в договор или прилагаться к нему.";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19)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"33. При выдаче карты следующие обязательные условия по предоставлению услуги по картам отражаются в договоре банковского 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персональные данные владельца счета (фамилия, имя, отчество, паспортные данные (или другие документы, удостоверяющие личность в соответствии с законодательством Кыргызской Республики) и другие данные владельца счета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персональные данные держателя карты (фамилия, имя, отчество, паспортные данные (или данные другого документа, удостоверяющего личность в соответствии с законодательством Кыргызской Республики) и другие данные держателя карты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права, обязанности и ответственность держателя карты и эмитента по операциям с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типы и размер комиссий, подлежащих уплате держателем карты, а также порядок информирования клиентов об изменении тарифов, срока действия карты или других условий пользования картой, новых продуктах и другой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 сроках и способах предоставления эмитентом выписок о движении денежных средств и остатке на банковском счете;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основные требования по соблюдению безопасности держателем карты (использование PIN-кода, лимиты, действия держателя в случае утери или кражи 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процедура информирования эмитента о факте утери, хищения или использования карты неуполномоченным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распределение ответственности между сторонами при утере, хищении или использовании карты неуполномоченным лицом, включая несанкционированные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условия блокирования и изъятия карты эмитентом;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распределение рисков и ответственности между сторонами в случае нарушения процедур безопасности или других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порядок рассмотрения споров/жалоб;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порядок расторжения договора и аннулирование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Эмитент имеет право разрешить проведение платежей держателю карты без использования PIN-кода и проведение бесконтактных платежей в пределах лимитов, устанавливаемых во внутренних правилах и процедурах для держателей карт с учетом критериев оценки степени (уровня) рисков на клиента, согласно программе внутреннего контроля эмитента и правилам платежных систем. При этом ответственность за данные транзакции несет эмитент.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Эмитент должен информировать держателей карт о наличии операций с высоким уровнем риска, по которым, согласно правилам системы, невозможен возврат денежных средств и/или не предусмотрена претензионная работа. Возможность проведения таких операций должна быть заблокирована по умолчанию и предоставляться только по запросу и согласию держателя карты. В целях сегментации карточных продуктов и продвижения допускается выпуск виртуальных карт с подключением по умолчанию операций с высоким уровнем риска при уведомлении и получении согласия держателя карты. Такие карты не могут быть использованы в рамках регулярных выплат (зарплатные проекты, пенсии, пособия, выплаты депозита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договоре могут быть предусмотрены дополнительные условия.";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20) в пункте 33-1: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подпункте 4) слово "ПИН" заменить словом "PIN";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подпункте 6) слово "мошеннические" заменить словом "несанкционированные";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21) третье предложение пункта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"Эмитент обязан идентифицировать держателей дополнительных карт в соответствии с требованиями к политике "знай своего клиента", установленными Приложением 1 к Инструкции по работе с банковскими счетами, счетами по банковским вкладам (депозитам) и применяемыми при открытии банковского счета.";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22) пункт 35-1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"35-1. При выдаче кредитной карты НФКО денежные средства (кредит) выдаются посредством дебетования средств обслуживающим банком с расчетного (ссудного) счета НФКО, открытого в данном банке, в соответствии с условиями договора по эмиссии и распространению кредитных карт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Подтверждением поступления кредита на кредитные карты НФКО без использования зачисления денежных средств на банковский счет пользователя кредитной карты НФКО является открытие НФКО кредитного лимита на сумму одобренного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Порядок/сроки зачисления кредита, открытия кредитного лимита и погашения осуществляется в соответствии с кредитным договором между НФКО и его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Проведение транзакций посредством кредитной карты НФКО через периферийные устройства и мобильные приложения участников платежных систем осуществляется с использованием PIN-кода, паролей или других способов аутентификации.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Пользователь кредитных карт НФКО вправе осуществлять платежи и расчеты, согласно целевому предназначению полученного кредита/финансирования.";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23) первое предложение пункта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"Эмитент ведет бухгалтерский учет операций с использованием карты путем зачисления или списания денежных средств по банковскому счету на основании проведенных держателем карты транзакций в соответствии с законодательством Кыргызской Республики, международными стандартами финансовой отчетности (МСФО) и внутренними правилами/процедурами ведения бухгалтерского учета.";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24) во втором предложении пункта 39 слова "(не менее, чем один раз в месяц)"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25) в абзаце первом пункта 40 слово "может" заменить словом "вправе";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26) пункт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"41. Эмитент/НФКО (в случае кредитных карт НФКО) должен внести реквизиты карты в стоп-лист системы при поступлении от держателя карты уведомления и заявления об утере, хищении или о несанкционированном использовании карты. В случае поступления уведомления от держателя карты об изъятии карты банкоматом эмитент/процессинговый центр временно блокирует карту до момента подачи заявления держателем карты/пользователем кредитной карты НФКО о внесении реквизитов карты в стоп-лист или возврата карты, согласно условиям договора и правилам платежной системы.";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27) в третьем предложении пункта 42 слова "утраченной или украденной банковской карты" заменить словами "утерянной или украденной карты";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28) в пункте 43: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абзаце первом слово "банковской"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абзаце втором слово "ПИН" заменить словом "PIN";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29) пункт 48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30) пункт 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"51. Эквайер в целях минимизации рисков несанкционированных операций с использованием карт должен установить на периферийных устройствах ограничение по объему операций на обналичивание денежных средств с учетом критериев оценки степени (уровня) рисков на клиента, а также согласно программе внутреннего контроля эмитента и правилам платежных систем, не противоречащими законодательству Кыргызской Республики. Сумма одной операции, осуществляемой держателем карты через банкомат, не должна превышать 400 (четырехсот) расчетных показателей в национальной валюте или ее эквиваленте в иностранной валюте.";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31) в абзаце восьмом пункта 53 слово "ПИН" заменить словом "PIN";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32) в абзаце первом пункта 54 слово "карт-чек" заменить словом "чек";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33) дополнить пунктом 63-3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"63-3. В случае если международная платежная система для оказания услуг по использованию банковских платежных карт на территории Кыргызской Республики зарегистрирована в офшорной зоне, то она не может пройти регистрацию в Национальном банке.";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34) пункт 66 после слова "Документы" дополнить словами "и их копии";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35) дополнить пунктом 67-2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"67-2. При аннулировании регистрации международной платежной системы, повторная подача документов на регистрацию возможна не ранее чем через 1 (один)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</w:t>
      </w:r>
      <w:r>
        <w:rPr>
          <w:rFonts w:ascii="Arial" w:cs="Arial" w:eastAsia="Arial" w:hAnsi="Arial"/>
          <w:sz w:val="22"/>
          <w:szCs w:val="22"/>
        </w:rPr>
        <w:t xml:space="preserve">) наименование </w:t>
      </w:r>
      <w:hyperlink w:history="1" r:id="rIdkkubnoqjir1wipcsrnjs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2"/>
          <w:szCs w:val="22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"Глава 10</w:t>
      </w:r>
      <w:r>
        <w:rPr>
          <w:rFonts w:ascii="Arial" w:cs="Arial" w:eastAsia="Arial" w:hAnsi="Arial"/>
          <w:sz w:val="22"/>
          <w:szCs w:val="22"/>
        </w:rPr>
        <w:t xml:space="preserve">. Общие требования к процессингу и процессинговому центру, порядок проведения окончательных расчетов";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37) дополнить пунктом 68-1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"68-1. Деятельность процессинга включает хранение финансовой информации и рассылку участникам системы расчетов с использованием карт информации по транзакциям, совершенным с использованием карт, а также выполнение иных функций, предусмотренных соответствующими договорами между участниками системы расчетов с использованием карт.";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38) в пункте 69 слова "дополнительной лицензии" заменить словами "лицензии/разрешения 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39) пункт 71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"71. Функции процессингового центра может выполнять оператор платежной системы, являющийся участником системы и имеющий соответствующую лицензию Национального банка, действующий согласно установленному регламенту и порядку работы, договорам между участниками системы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40) второе предложение пункта 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"Окончательный расчет по платежам с использованием национальных карт участников системы осуществляется Национальным банком в межбанковской Гроссовой системе расчетов в режиме реального времени в соответствии с регламентом и порядком работы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41) дополнить пунктом 72-1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"72-1. Национальный банк является расчетным агентом по проведению окончательных расчетов между участниками системы расчетов с использованием национальных карт.";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42) пункт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"73. Процессинг транзакций, совершенных с использованием международных карт, осуществляется операторами международных платежных систем в соответствии с регламентом, порядком работы и договорами этих систем, за исключением внутригосударственных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43) в пункте 75 слова "соответствующим документами (карт-чеками)" заменить словами "соответствующими документами (чеками)";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44) пункт 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"80. Процессинговые центры могут предоставлять другие виды услуг эмитентам и эквайерам (персонализация карт для клиентов, ведение базы данных по клиентам и ТСП и иные услуги) в соответствии с договорными отношениями и требованиями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45) в пункте 83 слово "картами" заменить словами "с использованием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46) дополнить </w:t>
      </w:r>
      <w:hyperlink w:history="1" r:id="rId26dhmom4cyxmlzmnpdph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главой 10-1</w:t>
        </w:r>
      </w:hyperlink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</w:t>
      </w:r>
      <w:hyperlink w:history="1" r:id="rIdbwm3jpizeoluwhfugthxs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Глава 10-1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. Требования к процессингу и порядку проведения внутригосударственных платежей и окончательных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83-1. К внутригосударственным платежам относятся платежи, совершенные в национальной валюте на территории Кыргызской Республики с использованием карт различных платежных систем, выпущенных на территории Кыргызской Республики. При этом эмитент, эквайер, ТСП являются резидентами Кыргызской Республики и платежи осуществляются в национальной валюте, независимо от валюты банковского счета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83-2. Сбор, обработку, хранение финансовой информации по платежам (процессинг транзакций), совершенным в национальной валюте с использованием банковских платежных карт, выпущенных на территории Кыргызской Республики, осуществляет процессинговый центр, имеющий соответствующую лицензию/разрешение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83-3. Авторизационные запросы/ответы эмитентов, эквайеров, операторов системы расчетов с использованием карт по внутригосударственным платежам должны проходить через оператора национальной платежной системы и могут передаваться в соответствующие системы расчетов с использованием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83-4. Клиринг по внутригосударственным платежам проводится оператором национальной платежной системы, и расчет итоговых чистых позиций осуществляется в межбанковской Гроссовой системе расчетов в режиме реального времени в соответствии с регламентом и порядком работы системы. Окончательный расчет по внутригосударственным платежам осуществляется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83-5. Порядок проведения внутригосударственных платежей, взаимодействие участников и систем расчетов с использованием банковских платежных карт, оператора национальной платежной системы, Национального банка, права и ответственность сторон устанавливаются в соответствующем договоре/договорах.";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47) пункт 93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"93. Эмитент должен предоставлять в Национальный банк сведения о выпущенных и обслуживаемых им видах и типах карт, включая остаток денежных средств на счетах по ним не позднее 10 числа месяца, следующего за отчетным кварталом, в порядке и форме, согласно Приложению 7 к настоящему Положению, а также другие отчеты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48) пункт 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"94. Эквайер должен предоставлять в Национальный банк сведения о периферийных устройствах не позднее 10 числа месяца, следующего за отчетным месяцем, в порядке и форме, согласно Приложению 3 к настоящему Положению; информировать о наличии у периферийных устройств функций для лиц с ограниченной возможностью не позднее 10 числа месяца, следующего за отчетным кварталом, в порядке и форме, согласно Приложению 6 к настоящему Положению, а также другие отчеты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49) в пункте 95 слово "картами" заменить словами "с использованием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50) во втором предложении пункта 97 слово "могут" заменить словами "вправе";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51) по всему тексту </w:t>
      </w:r>
      <w:hyperlink w:history="1" r:id="rIdap_qxdhh7jjtpsqtofar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2"/>
          <w:szCs w:val="22"/>
        </w:rPr>
        <w:t xml:space="preserve"> слова "эквайринга по банковским платежным картам" заменить словами "эквайринга банковских платежных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52) Положение дополнить приложениями </w:t>
      </w:r>
      <w:hyperlink w:history="1" r:id="rIdtigk4dmpejjnflvcumls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6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qun86xybgm_kjdv50wvo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7</w:t>
        </w:r>
      </w:hyperlink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wz1bhh8xzdfyr1qfrges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2"/>
          <w:szCs w:val="22"/>
        </w:rPr>
        <w:t xml:space="preserve">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количестве периферийных устройств с функциями для лиц с ограниченными возможностями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"/>
        <w:gridCol w:w="535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>
        <w:tc>
          <w:tcPr>
            <w:tcW w:type="dxa" w:w="1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области</w:t>
            </w:r>
          </w:p>
        </w:tc>
        <w:tc>
          <w:tcPr>
            <w:tcW w:type="dxa" w:w="9504"/>
            <w:gridSpan w:val="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установленных периферийных устройств с функциями для лиц с ограниченными возможностями здоровья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
 уст-ых банкоматов</w:t>
            </w:r>
          </w:p>
        </w:tc>
        <w:tc>
          <w:tcPr>
            <w:tcW w:type="dxa" w:w="36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 всего уст-ых банкоматов:</w:t>
            </w:r>
          </w:p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
 уст-ых POS-терминалов</w:t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 всего уст-ых POS-терминалов:</w:t>
            </w:r>
          </w:p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
 уст-ых платежных терминалов</w:t>
            </w:r>
          </w:p>
        </w:tc>
        <w:tc>
          <w:tcPr>
            <w:tcW w:type="dxa" w:w="31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 всего уст-ых платежных терминалов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наличие слепой печати (выпуклость на цифре 5)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 них есть работающий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нет аудиовыхода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преграды (лестница, подъем/спуск) и есть пандус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преграды (лестница, подъем/спуск), но нет пандуса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нет преград (лестница, подъем/спуск), нет необходимости в установке пандуса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наличие слепой печати (выпуклость на цифре 5)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функция бесконтактной оплаты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 них есть работающий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нет аудиовыхода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преграды (лестница, подъем/спуск) и есть пандус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есть преграды (лестница, подъем/спуск), но нет пандуса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нет преград (лестница, подъем/спуск), нет необходимости в установке пандуса</w:t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отчету должно прилагаться сопроводительное письмо с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5bvsxior7vih3mur4aow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2"/>
          <w:szCs w:val="22"/>
        </w:rPr>
        <w:t xml:space="preserve">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по количеству карт в обращении и остатка денежных средств на счетах по ним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2"/>
        <w:gridCol w:w="1063"/>
        <w:gridCol w:w="804"/>
        <w:gridCol w:w="804"/>
        <w:gridCol w:w="804"/>
        <w:gridCol w:w="804"/>
        <w:gridCol w:w="879"/>
        <w:gridCol w:w="879"/>
        <w:gridCol w:w="879"/>
        <w:gridCol w:w="392"/>
        <w:gridCol w:w="392"/>
        <w:gridCol w:w="392"/>
        <w:gridCol w:w="392"/>
        <w:gridCol w:w="392"/>
        <w:gridCol w:w="392"/>
      </w:tblGrid>
      <w:tr>
        <w:tc>
          <w:tcPr>
            <w:tcW w:type="dxa" w:w="9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платежной системы</w:t>
            </w:r>
          </w:p>
        </w:tc>
        <w:tc>
          <w:tcPr>
            <w:tcW w:type="dxa" w:w="10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картодержателей</w:t>
            </w:r>
          </w:p>
        </w:tc>
        <w:tc>
          <w:tcPr>
            <w:tcW w:type="dxa" w:w="32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карты</w:t>
            </w:r>
          </w:p>
        </w:tc>
        <w:tc>
          <w:tcPr>
            <w:tcW w:type="dxa" w:w="263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Статус карты</w:t>
            </w:r>
          </w:p>
        </w:tc>
        <w:tc>
          <w:tcPr>
            <w:tcW w:type="dxa" w:w="235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Остаток денежных средств на счетах по картам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магнитная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чиповая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чиповая NFC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виртуальная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активная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неактивная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заблокированный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сом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доллар США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евро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рубль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тенге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n…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платежной системы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картодержателей, обслуживаемые в рамках платежной системе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магнитных карт в обращении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чиповых карт в обращении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бесконтактных карт в обращении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виртуальных карт в обращении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активных (в течение 1 года) карт на конец отчетного периода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неактивных (более 1 года) карт на конец отчетного периода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количество заблокированных карт на конец отчетного периода</w:t>
            </w:r>
          </w:p>
        </w:tc>
        <w:tc>
          <w:tcPr>
            <w:tcW w:type="dxa" w:w="23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в числовом формате в номинале валют в тыс. ед.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отчету должно прилагаться сопроводительное письмо с приложением.".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cat2pinzecrfqxgdn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dalil.kg/document/800822</w:t>
      </w:r>
    </w:hyperlink>
  </w:p>
  <w:p>
    <w:pPr>
      <w:spacing w:after="0" w:before="40"/>
      <w:jc w:val="center"/>
    </w:pPr>
    <w:hyperlink w:history="1" r:id="rIdzh-y5kigxndyyzfas-z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tz8k1ndj_-gno2snmzi" Type="http://schemas.openxmlformats.org/officeDocument/2006/relationships/hyperlink" Target="https://dalil.kg/document/111486#st_20" TargetMode="External"/><Relationship Id="rIdqtuqzfw1fmw9byvmv6noc" Type="http://schemas.openxmlformats.org/officeDocument/2006/relationships/hyperlink" Target="https://dalil.kg/document/111486#st_68" TargetMode="External"/><Relationship Id="rIdfigvvzidvxtryibc8qhwp" Type="http://schemas.openxmlformats.org/officeDocument/2006/relationships/hyperlink" Target="https://dalil.kg/document/800822#pr" TargetMode="External"/><Relationship Id="rIdsizmjv1y-f13c2fgume1a" Type="http://schemas.openxmlformats.org/officeDocument/2006/relationships/hyperlink" Target="https://dalil.kg/document/800207" TargetMode="External"/><Relationship Id="rIdfg-a8yqdv0bljdiypxiyy" Type="http://schemas.openxmlformats.org/officeDocument/2006/relationships/hyperlink" Target="https://dalil.kg/document/800208" TargetMode="External"/><Relationship Id="rIdrwxv0oub-bdavw7arpa3z" Type="http://schemas.openxmlformats.org/officeDocument/2006/relationships/hyperlink" Target="https://dalil.kg/document/800207" TargetMode="External"/><Relationship Id="rId-_yh_p4sfenin8timdowv" Type="http://schemas.openxmlformats.org/officeDocument/2006/relationships/hyperlink" Target="https://dalil.kg/document/800208" TargetMode="External"/><Relationship Id="rIdbrtqa7-kww-esokfpck_b" Type="http://schemas.openxmlformats.org/officeDocument/2006/relationships/hyperlink" Target="https://dalil.kg/document/800208" TargetMode="External"/><Relationship Id="rId5ydofnlxwqxx8v9e9f_4p" Type="http://schemas.openxmlformats.org/officeDocument/2006/relationships/hyperlink" Target="https://dalil.kg/document/800207" TargetMode="External"/><Relationship Id="rIdoysx58i7gf61z6essjkut" Type="http://schemas.openxmlformats.org/officeDocument/2006/relationships/hyperlink" Target="https://dalil.kg/document/302547" TargetMode="External"/><Relationship Id="rIdg_zway-bxk6gs5rja-wnr" Type="http://schemas.openxmlformats.org/officeDocument/2006/relationships/hyperlink" Target="https://dalil.kg/document/12923" TargetMode="External"/><Relationship Id="rIdkkubnoqjir1wipcsrnjsf" Type="http://schemas.openxmlformats.org/officeDocument/2006/relationships/hyperlink" Target="https://dalil.kg/document/800208#g10" TargetMode="External"/><Relationship Id="rId26dhmom4cyxmlzmnpdphl" Type="http://schemas.openxmlformats.org/officeDocument/2006/relationships/hyperlink" Target="https://dalil.kg/document/800208#g10_1" TargetMode="External"/><Relationship Id="rIdbwm3jpizeoluwhfugthxs" Type="http://schemas.openxmlformats.org/officeDocument/2006/relationships/hyperlink" Target="https://dalil.kg/document/800208#g10_1" TargetMode="External"/><Relationship Id="rIdap_qxdhh7jjtpsqtofarh" Type="http://schemas.openxmlformats.org/officeDocument/2006/relationships/hyperlink" Target="https://dalil.kg/document/800208#pr2" TargetMode="External"/><Relationship Id="rIdtigk4dmpejjnflvcumlsz" Type="http://schemas.openxmlformats.org/officeDocument/2006/relationships/hyperlink" Target="https://dalil.kg/document/800208#pr6" TargetMode="External"/><Relationship Id="rIdqun86xybgm_kjdv50wvol" Type="http://schemas.openxmlformats.org/officeDocument/2006/relationships/hyperlink" Target="https://dalil.kg/document/800208#pr7" TargetMode="External"/><Relationship Id="rIdwz1bhh8xzdfyr1qfrgesz" Type="http://schemas.openxmlformats.org/officeDocument/2006/relationships/hyperlink" Target="https://dalil.kg/document/800208#pr6" TargetMode="External"/><Relationship Id="rId5bvsxior7vih3mur4aowl" Type="http://schemas.openxmlformats.org/officeDocument/2006/relationships/hyperlink" Target="https://dalil.kg/document/800208#pr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cat2pinzecrfqxgdne0" Type="http://schemas.openxmlformats.org/officeDocument/2006/relationships/hyperlink" Target="https://dalil.kg/document/800822" TargetMode="External"/><Relationship Id="rIdzh-y5kigxndyyzfas-z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2026-09-25T14:29:10.830Z</dcterms:created>
  <dcterms:modified xsi:type="dcterms:W3CDTF">2026-09-25T14:29:10.830Z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