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РЕПУБЛИКИ 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</w:t>
      </w:r>
      <w:r>
        <w:rPr>
          <w:rFonts w:ascii="Arial" w:cs="Arial" w:eastAsia="Arial" w:hAnsi="Arial"/>
          <w:sz w:val="24"/>
          <w:szCs w:val="24"/>
        </w:rPr>
        <w:t xml:space="preserve"> марта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 № 2022-П-12/19-4-(НПА)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дополнительных временных решениях Национального банка Кыргызской Республики по вопросам классификации активов финансово-кредитных организаций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8"/>
          <w:szCs w:val="28"/>
        </w:rPr>
        <w:t xml:space="preserve">(В редакции постановления Правления Нацбанка КР от </w:t>
      </w:r>
      <w:hyperlink w:history="1" r:id="rIdx-4ida-5ondr-yrvvw--u">
        <w:r>
          <w:rPr>
            <w:rFonts w:ascii="Arial" w:cs="Arial" w:eastAsia="Arial" w:hAnsi="Arial"/>
            <w:i/>
            <w:iCs/>
            <w:color w:val="1D4ED8"/>
            <w:sz w:val="28"/>
            <w:szCs w:val="28"/>
            <w:u w:val="single"/>
          </w:rPr>
          <w:t xml:space="preserve">28 сентября 2022 года № 2022-П-12/60-2</w:t>
        </w:r>
      </w:hyperlink>
      <w:r>
        <w:rPr>
          <w:rFonts w:ascii="Arial" w:cs="Arial" w:eastAsia="Arial" w:hAnsi="Arial"/>
          <w:i/>
          <w:iCs/>
          <w:sz w:val="28"/>
          <w:szCs w:val="28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сохранения стабильности в банковской системе страны и в соответствии со </w:t>
      </w:r>
      <w:hyperlink w:history="1" r:id="rIdnlytnrn2v4ubx2dqnyt-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20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dbl3xo6fxsqmqj04ld_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68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1q5dzjf-iqevzpjlk2f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Национальном банке Кыргызской Республики, банках и банковской деятельности» Правление Национального банка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следующие постановления Правления Национального банка Кыргызской Республики </w:t>
      </w:r>
      <w:hyperlink w:history="1" r:id="rIdnp5wpajrdkd_vt4ebxo4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(прилагаются):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постановлением Правления Нацбанка КР от </w:t>
      </w:r>
      <w:hyperlink w:history="1" r:id="rIdlzcxhcgvsryn1njcj08x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сентября 2022 года № 2022-П-12/60-2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«Об утверждении Положения «О классификации активов и соответствующих отчислениях в резерв на покрытие потенциальных потерь и убытков» от </w:t>
      </w:r>
      <w:hyperlink w:history="1" r:id="rIditqungo4knaw4xixvz5y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июля 2004 года № 18/3. 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 Банкам и небанковским финансово-кредитным организациям, зарегистрированным в Кыргызской Республике, не начислять и не взимать комиссионные и иные платежи по пересмотру условий кредитных договоров в связи с изменениями денежных потоков и финансового положения заемщиков ввиду влияния текущей геополитической ситуации и негативных последствий внешнеэкономического шока.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3. Настоящее постановление вступает в силу со дня его официального опубликования и действует до принятия соответствующего решения Правления Национального банка.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 Юридическому управлению: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 Управлению методологии надзора и лицензирования банков довести настоящее постановление до сведения ОЮЛ «Союз банков Кыргызстана», коммерческих банков, всех структурных подразделений, областных управлений, представительства Национального банка в Баткенской области.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 Управлению надзора за небанковскими финансово-кредитными организациями довести настоящее постановление до сведения ОЮЛ «Ассоциация микрофинансовых организаций», микрофинансовых компаний, привлекающих срочные депозиты, ОАО «Финансовая компания кредитных союзов», ОАО «Гарантийный фонд».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 Контроль за исполнением настоящего постановления возложить на члена Правления Национального банка Кыргызской Республики, курирующего управление методологии надзора и лицензирования банков.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Боконтаев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Изменения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некоторые нормативные правовые акты Национального банка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8"/>
          <w:szCs w:val="28"/>
        </w:rPr>
        <w:t xml:space="preserve">(В редакции постановления Правления Нацбанка КР от </w:t>
      </w:r>
      <w:hyperlink w:history="1" r:id="rIdl_5f5kt8b10bbvial3vmm">
        <w:r>
          <w:rPr>
            <w:rFonts w:ascii="Arial" w:cs="Arial" w:eastAsia="Arial" w:hAnsi="Arial"/>
            <w:i/>
            <w:iCs/>
            <w:color w:val="1D4ED8"/>
            <w:sz w:val="28"/>
            <w:szCs w:val="28"/>
            <w:u w:val="single"/>
          </w:rPr>
          <w:t xml:space="preserve">28 сентября 2022 года № 2022-П-12/60-2</w:t>
        </w:r>
      </w:hyperlink>
      <w:r>
        <w:rPr>
          <w:rFonts w:ascii="Arial" w:cs="Arial" w:eastAsia="Arial" w:hAnsi="Arial"/>
          <w:i/>
          <w:iCs/>
          <w:sz w:val="28"/>
          <w:szCs w:val="28"/>
        </w:rPr>
        <w:t xml:space="preserve">)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постановлением Правления Нацбанка КР от </w:t>
      </w:r>
      <w:hyperlink w:history="1" r:id="rIdwigpp3lqmsycc-wkfe2rj">
        <w:r>
          <w:rPr>
            <w:rFonts w:ascii="Arial" w:cs="Arial" w:eastAsia="Arial" w:hAnsi="Arial"/>
            <w:i/>
            <w:iCs/>
            <w:color w:val="1D4ED8"/>
            <w:sz w:val="28"/>
            <w:szCs w:val="28"/>
            <w:u w:val="single"/>
          </w:rPr>
          <w:t xml:space="preserve">28 сентября 2022 года № 2022-П-12/60-2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 Внести в постановление Правления Национального банка Кыргызской Республики «Об утверждении Положения «О классификации активов и соответствующих отчислениях в резерв на покрытие потенциальных потерь и убытков» от </w:t>
      </w:r>
      <w:hyperlink w:history="1" r:id="rIdwxg1jehnonzes6x8w1v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июля 2004 года № 18/3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следующее изменение: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Положении «О классификации активов и соответствующих отчислениях в резерв на покрытие потенциальных потерь и убытков», утвержденном вышеуказанным постановлением: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семнадцатый абзац подпункта 4.1.1. изложить в следующей редакции: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«Банки могут классифицировать вновь выданные кредиты в долларах США как «нормальные активы» в случае, если они соответствуют требованиям, указанным в пункте 4.2. настоящего Положения, с формированием РППУ в размере от 0 до 2 процентов вне зависимости от структуры доходов в соответствии с внутренней политикой банка. При этом данные требования распространяются на льготные кредиты, выданные в рамках сотрудничества Кабинета Министров Кыргызской Республики с Правительством Российской Федерации (Российско-Кыргызский Фонд развития – далее Фонд развития), в том числе по кредитам за счет средств, привлеченных и гарантированных Фондом развития от иных зарубежных финансовых институтов, включая ранее выданные кредиты, погашение которых будет осуществляться за счет финансирования из средств Фонда развития и предусматривает изменение первоначальных условий кредитного договора.».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5jvg8b-vgv05pqwrfan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dalil.kg/document/800828</w:t>
      </w:r>
    </w:hyperlink>
  </w:p>
  <w:p>
    <w:pPr>
      <w:spacing w:after="0" w:before="40"/>
      <w:jc w:val="center"/>
    </w:pPr>
    <w:hyperlink w:history="1" r:id="rIdwxizl6oeqyoels0eu0xv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-4ida-5ondr-yrvvw--u" Type="http://schemas.openxmlformats.org/officeDocument/2006/relationships/hyperlink" Target="https://dalil.kg/document/800475" TargetMode="External"/><Relationship Id="rIdnlytnrn2v4ubx2dqnyt-i" Type="http://schemas.openxmlformats.org/officeDocument/2006/relationships/hyperlink" Target="https://dalil.kg/document/111486#st_20" TargetMode="External"/><Relationship Id="rIdpdbl3xo6fxsqmqj04ld_a" Type="http://schemas.openxmlformats.org/officeDocument/2006/relationships/hyperlink" Target="https://dalil.kg/document/111486#st_68" TargetMode="External"/><Relationship Id="rId1q5dzjf-iqevzpjlk2fai" Type="http://schemas.openxmlformats.org/officeDocument/2006/relationships/hyperlink" Target="https://dalil.kg/document/111486#st_87" TargetMode="External"/><Relationship Id="rIdnp5wpajrdkd_vt4ebxo4u" Type="http://schemas.openxmlformats.org/officeDocument/2006/relationships/hyperlink" Target="https://dalil.kg/document/800828#pr" TargetMode="External"/><Relationship Id="rIdlzcxhcgvsryn1njcj08xi" Type="http://schemas.openxmlformats.org/officeDocument/2006/relationships/hyperlink" Target="https://dalil.kg/document/800475" TargetMode="External"/><Relationship Id="rIditqungo4knaw4xixvz5y5" Type="http://schemas.openxmlformats.org/officeDocument/2006/relationships/hyperlink" Target="https://dalil.kg/document/31371" TargetMode="External"/><Relationship Id="rIdl_5f5kt8b10bbvial3vmm" Type="http://schemas.openxmlformats.org/officeDocument/2006/relationships/hyperlink" Target="https://dalil.kg/document/800475" TargetMode="External"/><Relationship Id="rIdwigpp3lqmsycc-wkfe2rj" Type="http://schemas.openxmlformats.org/officeDocument/2006/relationships/hyperlink" Target="https://dalil.kg/document/800475" TargetMode="External"/><Relationship Id="rIdwxg1jehnonzes6x8w1vhw" Type="http://schemas.openxmlformats.org/officeDocument/2006/relationships/hyperlink" Target="https://dalil.kg/document/31371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5jvg8b-vgv05pqwrfany" Type="http://schemas.openxmlformats.org/officeDocument/2006/relationships/hyperlink" Target="https://dalil.kg/document/800828" TargetMode="External"/><Relationship Id="rIdwxizl6oeqyoels0eu0xv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2026-09-24T15:06:00.253Z</dcterms:created>
  <dcterms:modified xsi:type="dcterms:W3CDTF">2026-09-24T15:06:00.253Z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