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РЕПУБЛИКИ 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апреля 2022 года №2022-П-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/2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-(</w:t>
      </w:r>
      <w:r>
        <w:rPr>
          <w:rFonts w:ascii="Arial" w:cs="Arial" w:eastAsia="Arial" w:hAnsi="Arial"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дополнительных временных решениях Национального банка Кыргызской Республики по вопросам классификации активов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стабильности в банковской системе и в соответствии со статьями </w:t>
      </w:r>
      <w:hyperlink w:history="1" r:id="rIdyizomxmocgto8lhsgwb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bpaps56zdeow5sp-30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4chkr4nhitnv_zxrt7y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Коммерческие банки, участвующие в реализации проекта "Кредитование агропромышленного комплекса" (далее - программа):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могут классифицировать часть актива, обеспеченного гарантией Фонда, созданного в рамках межгосударственного (межправительственного) соглашения (далее - Фонд), как "нормальный актив" с формированием резерва на покрытие потенциальных потерь и убытков в размере 0 процентов, при одновременном соблюдении всех следующих условий: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кредитов, гарантированных Фондом, не должен превышать остаток денежных средств Фонда, размещенных в коммерческом банке, участвующем в реализации программы, более чем в два раза;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 гарантии между Фондом и банком должен предусматривать право банка по безакцептному списанию денежных средств по возникшим перед банком просроченным платежам по обязательствам, гарантированным гарантиями Фонда, с текущих счетов Фонда, открытых и обслуживаемых в банке, в течение 5 рабочих дней;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минимальный остаток денежных средств Фонда на текущих счетах в банке должен поддерживаться на уровне не менее 10 процентов от балансовой стоимости кредитов банка, выданных под гарантию Фонда до полной реализации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безакцептного списания денежных средств Фонда по возникшим перед банком обязательствам, гарантированным гарантиями Фонда, Фонд должен пополнить текущий счет в банке в течение трех рабочих дней как минимум на сумму списанных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несоблюдения указанных выше условий, должны классифицировать активы согласно характерным признакам, установленным в </w:t>
      </w:r>
      <w:hyperlink w:history="1" r:id="rIdqqe7bw1jiuxdkfv5iij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убытков", утвержденном </w:t>
      </w:r>
      <w:hyperlink w:history="1" r:id="rId7auobg3-kk4heilmakq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21 июля 2004 года № 18/3;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оценке аккредитивов, гарантированных гарантиями Фонда, применять фактор кредитной конверсии в размере 50% в соответствии с </w:t>
      </w:r>
      <w:hyperlink w:history="1" r:id="rIdrk3ko2lmqha4jnkmmjp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Инструкцией</w:t>
        </w:r>
      </w:hyperlink>
      <w:r>
        <w:rPr>
          <w:rFonts w:ascii="Arial" w:cs="Arial" w:eastAsia="Arial" w:hAnsi="Arial"/>
          <w:sz w:val="24"/>
          <w:szCs w:val="24"/>
        </w:rPr>
        <w:t xml:space="preserve"> по определению стандартов достаточности (адекватности) капитала коммерческих банков Кыргызской Республики, утвержденной </w:t>
      </w:r>
      <w:hyperlink w:history="1" r:id="rId-yfastvajijur4smvwk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21 июля 2004 года № 18/2.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его официального опубликования и действует до принятия соответствующего решения Правления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банков довести настоящее постановление до сведения коммерческих банков, участвующих в программе, а также всех структурных подразделений, областных управлений, представительства Национального банка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члена Правления Национального банка Кыргызской Республики, курирующего управление методологии надзора и лицензирования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редседател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я: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З.Чокоев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zw9m9cvtqqdjvnyf4v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dalil.kg/document/800835</w:t>
      </w:r>
    </w:hyperlink>
  </w:p>
  <w:p>
    <w:pPr>
      <w:spacing w:after="0" w:before="40"/>
      <w:jc w:val="center"/>
    </w:pPr>
    <w:hyperlink w:history="1" r:id="rIdcmpulnf555mgxmzfxwe9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izomxmocgto8lhsgwbae" Type="http://schemas.openxmlformats.org/officeDocument/2006/relationships/hyperlink" Target="https://dalil.kg/document/111486#st_20" TargetMode="External"/><Relationship Id="rIdbbpaps56zdeow5sp-30_h" Type="http://schemas.openxmlformats.org/officeDocument/2006/relationships/hyperlink" Target="https://dalil.kg/document/111486#st_68" TargetMode="External"/><Relationship Id="rId4chkr4nhitnv_zxrt7ys1" Type="http://schemas.openxmlformats.org/officeDocument/2006/relationships/hyperlink" Target="https://dalil.kg/document/111486#st_87" TargetMode="External"/><Relationship Id="rIdqqe7bw1jiuxdkfv5iijwa" Type="http://schemas.openxmlformats.org/officeDocument/2006/relationships/hyperlink" Target="https://dalil.kg/document/31372" TargetMode="External"/><Relationship Id="rId7auobg3-kk4heilmakqto" Type="http://schemas.openxmlformats.org/officeDocument/2006/relationships/hyperlink" Target="https://dalil.kg/document/31371" TargetMode="External"/><Relationship Id="rIdrk3ko2lmqha4jnkmmjptp" Type="http://schemas.openxmlformats.org/officeDocument/2006/relationships/hyperlink" Target="https://dalil.kg/document/31370" TargetMode="External"/><Relationship Id="rId-yfastvajijur4smvwkk0" Type="http://schemas.openxmlformats.org/officeDocument/2006/relationships/hyperlink" Target="https://dalil.kg/document/3136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zw9m9cvtqqdjvnyf4vid" Type="http://schemas.openxmlformats.org/officeDocument/2006/relationships/hyperlink" Target="https://dalil.kg/document/800835" TargetMode="External"/><Relationship Id="rIdcmpulnf555mgxmzfxwe9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2026-09-30T13:32:38.389Z</dcterms:created>
  <dcterms:modified xsi:type="dcterms:W3CDTF">2026-09-30T13:32:38.389Z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