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состоянии охраны животного мира Кыргызской Республики, об исполнении законов Кыргызской Республики "О животном мире", "Об охране окружающей среды", "О биосферных территориях в Кыргызской Республике", "Об охоте и охотничьем хозяйстве"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экосистем и биологического разнообразия, охраны природно-заповедного фонда, необходимого усиления работы по сохранению и увеличению популяции диких животных, предотвращению дальнейшей деградации уникальных природных комплексов республики, а также заслушав председателя Общественного совета Жогорку Кенеша по переходу к зеленой экономике в Кыргызской Республике, депутата Э.Байбакпаева, представителей уполномоченных государственных органов, независимых экспертов, экологов,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усилению государственного контроля и надзора за исполнением законов Кыргызской Республики "</w:t>
      </w:r>
      <w:hyperlink w:history="1" r:id="rIdyepfgy61cyvvp1schqk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животном мире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74pnuobglkwjeja2ef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xh3jmlkboefyrtigak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биосферных территориях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7mal5htjkrw8fnmqr9x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особо охраняемых природных территориях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соответствующих подзаконных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сложившуюся чрезмерно коммерциализированную государственную систему охраны животного мира и практики природопользования на объектах природно-заповедного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вопрос нагрузки на государственных егерей и повышения эффективности их работы, принять меры по увеличению численности и повышению заработной платы егерей, охотничьих инспекторов, а также по обновлению и оснащению материально-технической базы, необходимой для полноценного осуществления возложенных на них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восстановлении научных отделов при особо охраняемых природных территориях (ООПТ), как самостоятельных единиц при дирекциях ООПТ, и передачи им функций и полномочий в части особо охраняемых природных территорий от Департамента сохранения биоразнообразия и особо охраняемых природных территорий Государственного агентства охраны окружающей среды и лесного хозяйства при Правительстве Кыргызской Республики (ГАООСЛХ);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работу по завершению внутренних процедур процесса ратификации Парижского климатического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подготовке проектов освоения донорских средств в первоочередном порядке направлять средства из Глобального Экологического Фонда и Зеленого Климатического Фонда на финансирование мероприятий по сохранению биоразнообразия и поддержке государственной системы по охране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налоговый контроль за частными охотпользователями, перевести налоговый учет охотпользователей под ответственность управления контроля крупных налогоплательщиков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введения лицензирования охотничьей деятельности, специального налога на ввоз охотничьего оружия и платы за пользование оружием в охотничьих целях с направлением полученных средств на природоохранные меры;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предупреждению коррупции в сфере пользования животным миром и пресечения браконьерства, проводить разъяснительную работу среди населения, в том числе используя ресурсы средств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правовое регулирование порядка предоставления аренды земельных участков под охотничьи угодья, с учетом необходимости повышения ставок аренды и направления полученных средств на природоохранные цели;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Национальным статистическим комитетом Кыргызской Республики (Нацстатком) проработать вопросы совершенствования статистического учета численности объектов животного мира, верификации статистических данных о популяции диких животных, а также количественного учета при вывозе охотничьих трофеев (взамен существующего учета по весу, совмещенному товарному коду);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практику ежегодного проведения совместной пресс-конференции Нацстаткома и ГАООЛСХ о состоянии животного мира республики, в том числе для совместного обнародования сведений по результатам зимнего учета редких и исчезающих диких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вопрос целесообразности выделения в системе органов прокуратуры республики отдельной специализированной природоохранной прокуратуры;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шестимесячный срок в Жогорку Кенеш Кыргызской Республики законопроекты, направленные на усиление общественного контроля в сфере сохранения биологического разнообразия и вовлечение органов местного самоуправления, местных сообществ в вопрос охраны животного мира, а также на усиление мер ответственности за предоставление недостоверных статистических сведений и ненадлежащее ведение статистической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Генеральной прокуратуре Кыргызской Республики совместно с соответствующими правоохранительными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единообразному соблюдению природоохранного законодательства, особенно законов Кыргызской Республики "</w:t>
      </w:r>
      <w:hyperlink w:history="1" r:id="rIdjo9hesjuerv6uakbwsm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животном мире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4pzhrjf19i2-3pppmib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соблюдению уполномоченными государственными органами, учреждениями и организациями законов Кыргызской Республики "</w:t>
      </w:r>
      <w:hyperlink w:history="1" r:id="rId2ctl8zj_nysvt7w5nyb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биосферных территориях в Кыргызской Республик</w:t>
        </w:r>
      </w:hyperlink>
      <w:r>
        <w:rPr>
          <w:rFonts w:ascii="Arial" w:cs="Arial" w:eastAsia="Arial" w:hAnsi="Arial"/>
          <w:sz w:val="24"/>
          <w:szCs w:val="24"/>
        </w:rPr>
        <w:t xml:space="preserve">е", "</w:t>
      </w:r>
      <w:hyperlink w:history="1" r:id="rIdip20vmfxynn2hy7rj6z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особо охраняемых природных территориях</w:t>
        </w:r>
      </w:hyperlink>
      <w:r>
        <w:rPr>
          <w:rFonts w:ascii="Arial" w:cs="Arial" w:eastAsia="Arial" w:hAnsi="Arial"/>
          <w:sz w:val="24"/>
          <w:szCs w:val="24"/>
        </w:rPr>
        <w:t xml:space="preserve">", природоохранных режимов в пределах Биосферной территории "Ыссык-Куль", на территориях природно-заповедного фонда республики (озеро Сон-Куль, Сарычат-Эрташ, Сары-Челек, Арсланбап и пр.);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выявлению и пресечению коррупционной и экономической преступности, связанных с незаконным пользованием объектами животного и растительного мира, незаконной охотничьей деятельностью и оборотом охотничьих трофеев, браконьерством, а также с природопользованием на объектах природно-заповедного фонда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вопрос правомерности пастбищных комитетов на использование средств от аренды и заключение договоров аренды пастбищных земель на цели организации охотничьих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результатах проведенной работы информировать ежеквартально профильный комитет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охраны окружающей среды и лесного хозяйства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и надзор за состоянием популяций редких и исчезающих диких животных, взвешенно проводить мероприятия по сохранению и увеличению их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целесообразность изменения подходов в государственной политике по охране и устойчивому использованию животного мира, особенно по вопросу предоставления земель под охотничьи угодья и права на организацию охотничьих хозяйств частным предприятиям;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Генеральной прокуратурой Кыргызской Республики, Министерством внутренних дел Кыргызской Республики, Государственной инспекцией по экологической и технической безопасности при Правительстве Кыргызской Республики и Государственной пограничной службой Кыргызской Республики провести разъяснительную работу среди личного состава правоохранительных органов по недопущению нарушений природоохранного законодательства, мерах ответственности, а также правах и обязанностях по сохранению животного мира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охране и мониторингу состояния особо охраняемых природных территорий, наладить полноценное взаимодействие с Национальной академией наук Кыргызской Республики в части научных исследований и 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практику выдачи разрешения на охоту на животных, занесенных в Красную книгу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инспекции по ветеринарной и фитосанитарной безопасности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исполнению природоохранного, экологического, ветеринарного законодательства, особенно в части ветеринарного контроля и надзора за эпизоотическим благополучием, полноценному проведению ветеринарных мероприятий с сельскохозяйственными и домашними животными, а также по проведению эпизоотических мероприятий на пастбищах отгонного животноводства в целях недопущения передачи заболеваний диким животным.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Национальной академии наук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уделить достаточное внимание научным исследованиям по изучению динамики экологических систем и влияния человеческой активности на ее состояние;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обновлению Красной книги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подходы научного обоснования в сфере природопользования с учетом взятых Кыргызской Республикой международных обязательств по вопросам сохранения дикой природы, экосистем и биоразнообразия, а также фактического сложного состояния  популяции диких животных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Правительству Кыргызской Республики информировать Жогорку Кенеш Кыргызской республики о принятых решениях и мерах не позднее 15 сентября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Комитет Жогорку Кенеша Кыргызской Республики по аграрной политике, водным ресурсам, экологии и региональному развитию и Общественный совет Жогорку Кенеша по переходу к зеленой экономике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vebvwssgayyvevyhx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dalil.kg/document/83898</w:t>
      </w:r>
    </w:hyperlink>
  </w:p>
  <w:p>
    <w:pPr>
      <w:spacing w:after="0" w:before="40"/>
      <w:jc w:val="center"/>
    </w:pPr>
    <w:hyperlink w:history="1" r:id="rIddwussl_khbn_gwm_pxo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pfgy61cyvvp1schqkje" Type="http://schemas.openxmlformats.org/officeDocument/2006/relationships/hyperlink" Target="https://dalil.kg/document/224" TargetMode="External"/><Relationship Id="rIdb74pnuobglkwjeja2efdf" Type="http://schemas.openxmlformats.org/officeDocument/2006/relationships/hyperlink" Target="https://dalil.kg/document/218" TargetMode="External"/><Relationship Id="rIdbxh3jmlkboefyrtigakyx" Type="http://schemas.openxmlformats.org/officeDocument/2006/relationships/hyperlink" Target="https://dalil.kg/document/213" TargetMode="External"/><Relationship Id="rId7mal5htjkrw8fnmqr9xuc" Type="http://schemas.openxmlformats.org/officeDocument/2006/relationships/hyperlink" Target="https://dalil.kg/document/203262" TargetMode="External"/><Relationship Id="rIdjo9hesjuerv6uakbwsmsf" Type="http://schemas.openxmlformats.org/officeDocument/2006/relationships/hyperlink" Target="https://dalil.kg/document/224" TargetMode="External"/><Relationship Id="rId4pzhrjf19i2-3pppmibb7" Type="http://schemas.openxmlformats.org/officeDocument/2006/relationships/hyperlink" Target="https://dalil.kg/document/218" TargetMode="External"/><Relationship Id="rId2ctl8zj_nysvt7w5nybk-" Type="http://schemas.openxmlformats.org/officeDocument/2006/relationships/hyperlink" Target="https://dalil.kg/document/213" TargetMode="External"/><Relationship Id="rIdip20vmfxynn2hy7rj6zx0" Type="http://schemas.openxmlformats.org/officeDocument/2006/relationships/hyperlink" Target="https://dalil.kg/document/2032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vebvwssgayyvevyhxhv" Type="http://schemas.openxmlformats.org/officeDocument/2006/relationships/hyperlink" Target="https://dalil.kg/document/83898" TargetMode="External"/><Relationship Id="rIddwussl_khbn_gwm_pxo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2026-10-03T17:39:58.046Z</dcterms:created>
  <dcterms:modified xsi:type="dcterms:W3CDTF">2026-10-03T17:39:58.046Z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