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год", инициированный Правительством Кыргызской Республики (</w:t>
      </w:r>
      <w:hyperlink w:history="1" r:id="rId8m56uz4gdc94bu0z95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ubg5mqmwchma9u0rm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dalil.kg/document/87126</w:t>
      </w:r>
    </w:hyperlink>
  </w:p>
  <w:p>
    <w:pPr>
      <w:spacing w:after="0" w:before="40"/>
      <w:jc w:val="center"/>
    </w:pPr>
    <w:hyperlink w:history="1" r:id="rIdgaghboltmwndjsv4-q-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56uz4gdc94bu0z95xhm" Type="http://schemas.openxmlformats.org/officeDocument/2006/relationships/hyperlink" Target="https://dalil.kg/document/142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ubg5mqmwchma9u0rmde" Type="http://schemas.openxmlformats.org/officeDocument/2006/relationships/hyperlink" Target="https://dalil.kg/document/87126" TargetMode="External"/><Relationship Id="rIdgaghboltmwndjsv4-q-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2026-10-03T07:09:28.702Z</dcterms:created>
  <dcterms:modified xsi:type="dcterms:W3CDTF">2026-10-03T07:09:28.702Z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