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Административно-процессуальный </w:t>
      </w:r>
      <w:hyperlink w:history="1" r:id="rIdulbgjo5pea_65hlve_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c7ikymqk9zbiiz772r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t_7ow-cwau79zjfj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dalil.kg/document/87543</w:t>
      </w:r>
    </w:hyperlink>
  </w:p>
  <w:p>
    <w:pPr>
      <w:spacing w:after="0" w:before="40"/>
      <w:jc w:val="center"/>
    </w:pPr>
    <w:hyperlink w:history="1" r:id="rIdl6tbkiyysli24xk3jog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bgjo5pea_65hlve_6zo" Type="http://schemas.openxmlformats.org/officeDocument/2006/relationships/hyperlink" Target="https://dalil.kg/document/111520" TargetMode="External"/><Relationship Id="rIdc7ikymqk9zbiiz772rhyp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t_7ow-cwau79zjfjgwk" Type="http://schemas.openxmlformats.org/officeDocument/2006/relationships/hyperlink" Target="https://dalil.kg/document/87543" TargetMode="External"/><Relationship Id="rIdl6tbkiyysli24xk3jog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2026-10-01T22:10:41.441Z</dcterms:created>
  <dcterms:modified xsi:type="dcterms:W3CDTF">2026-10-01T22:10:41.441Z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