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октября</w:t>
      </w:r>
      <w:r>
        <w:rPr>
          <w:rFonts w:ascii="Arial" w:cs="Arial" w:eastAsia="Arial" w:hAnsi="Arial"/>
          <w:sz w:val="24"/>
          <w:szCs w:val="24"/>
        </w:rPr>
        <w:t xml:space="preserve"> 2021 года № 4</w:t>
      </w:r>
      <w:r>
        <w:rPr>
          <w:rFonts w:ascii="Arial" w:cs="Arial" w:eastAsia="Arial" w:hAnsi="Arial"/>
          <w:sz w:val="24"/>
          <w:szCs w:val="24"/>
        </w:rPr>
        <w:t xml:space="preserve">925</w:t>
      </w:r>
      <w:r>
        <w:rPr>
          <w:rFonts w:ascii="Arial" w:cs="Arial" w:eastAsia="Arial" w:hAnsi="Arial"/>
          <w:sz w:val="24"/>
          <w:szCs w:val="24"/>
        </w:rPr>
        <w:t xml:space="preserve">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избрании судьи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Верховного суда Кыргызской Республики, внесенное Президентом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3 </w:t>
      </w:r>
      <w:hyperlink w:history="1" r:id="rIdvvfswiwus1s2l1lzjqv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частью 2 </w:t>
      </w:r>
      <w:hyperlink w:history="1" r:id="rIdw8hsgnzxmjmudm5kx2r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избрать Сейдакматову Аиду Асанбековну на должность судьи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xejq8yzobv-10zgc8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dalil.kg/document/88623</w:t>
      </w:r>
    </w:hyperlink>
  </w:p>
  <w:p>
    <w:pPr>
      <w:spacing w:after="0" w:before="40"/>
      <w:jc w:val="center"/>
    </w:pPr>
    <w:hyperlink w:history="1" r:id="rIdd-zh32wfwffkmhunsij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fswiwus1s2l1lzjqvzk" Type="http://schemas.openxmlformats.org/officeDocument/2006/relationships/hyperlink" Target="https://dalil.kg/document/112213#st_80" TargetMode="External"/><Relationship Id="rIdw8hsgnzxmjmudm5kx2rm_" Type="http://schemas.openxmlformats.org/officeDocument/2006/relationships/hyperlink" Target="https://dalil.kg/document/202352#st_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xejq8yzobv-10zgc82s" Type="http://schemas.openxmlformats.org/officeDocument/2006/relationships/hyperlink" Target="https://dalil.kg/document/88623" TargetMode="External"/><Relationship Id="rIdd-zh32wfwffkmhunsij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2026-09-30T23:27:01.876Z</dcterms:created>
  <dcterms:modified xsi:type="dcterms:W3CDTF">2026-09-30T23:27:01.876Z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