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апрели</w:t>
      </w:r>
      <w:r>
        <w:rPr>
          <w:rFonts w:ascii="Arial" w:cs="Arial" w:eastAsia="Arial" w:hAnsi="Arial"/>
          <w:sz w:val="24"/>
          <w:szCs w:val="24"/>
        </w:rPr>
        <w:t xml:space="preserve"> 2022 года № 194-VII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виртуальных активов"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виртуальных активов", инициированный Председателем Кабинета Министров Кыргызской Республики (</w:t>
      </w:r>
      <w:hyperlink w:history="1" r:id="rId1ztrbttxb4zryeu_xb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2022 года № 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lvho3q3c_zwrln7_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dalil.kg/document/89042</w:t>
      </w:r>
    </w:hyperlink>
  </w:p>
  <w:p>
    <w:pPr>
      <w:spacing w:after="0" w:before="40"/>
      <w:jc w:val="center"/>
    </w:pPr>
    <w:hyperlink w:history="1" r:id="rIdy1h3cddih_nio4wwjhq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trbttxb4zryeu_xbpob" Type="http://schemas.openxmlformats.org/officeDocument/2006/relationships/hyperlink" Target="https://dalil.kg/document/159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lvho3q3c_zwrln7_owb" Type="http://schemas.openxmlformats.org/officeDocument/2006/relationships/hyperlink" Target="https://dalil.kg/document/89042" TargetMode="External"/><Relationship Id="rIdy1h3cddih_nio4wwjhq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2026-09-30T13:42:03.148Z</dcterms:created>
  <dcterms:modified xsi:type="dcterms:W3CDTF">2026-09-30T13:42:03.148Z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