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14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Москва, на основании законов Кыргызской Республики "</w:t>
      </w:r>
      <w:hyperlink w:history="1" r:id="rIdc7dftzl8qsqsznsxij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ftlu-p4_1odlptc0r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поощрении и взаимной защите инвестиций в государствах-членах Евразийского экономического сообщества,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поощрении и взаимной защите инвестиций в государствах-членах Евразийского экономического сообщества,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bkegh1nh1lsslilm2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</w:t>
      </w:r>
    </w:hyperlink>
  </w:p>
  <w:p>
    <w:pPr>
      <w:spacing w:after="0" w:before="40"/>
      <w:jc w:val="center"/>
    </w:pPr>
    <w:hyperlink w:history="1" r:id="rId_gjoqpmpvplvwksrmt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dftzl8qsqsznsxijyj5" Type="http://schemas.openxmlformats.org/officeDocument/2006/relationships/hyperlink" Target="https://dalil.kg/document/252" TargetMode="External"/><Relationship Id="rIdaftlu-p4_1odlptc0rvg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bkegh1nh1lsslilm2t1" Type="http://schemas.openxmlformats.org/officeDocument/2006/relationships/hyperlink" Target="https://dalil.kg/document/90030" TargetMode="External"/><Relationship Id="rId_gjoqpmpvplvwksrmtl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2026-10-04T16:38:27.414Z</dcterms:created>
  <dcterms:modified xsi:type="dcterms:W3CDTF">2026-10-04T16:38:27.414Z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