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lquean5uittonz_dgp5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июня 2009 года №385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w:t>
      </w:r>
    </w:p>
    <w:p>
      <w:pPr>
        <w:spacing w:after="120"/>
        <w:jc w:val="both"/>
      </w:pPr>
      <w:r>
        <w:rPr>
          <w:rFonts w:ascii="Arial" w:cs="Arial" w:eastAsia="Arial" w:hAnsi="Arial"/>
          <w:sz w:val="24"/>
          <w:szCs w:val="24"/>
        </w:rPr>
        <w:t xml:space="preserve">В соответствии с пунктом 3 статьи 65 </w:t>
      </w:r>
      <w:hyperlink w:history="1" r:id="rId9xjdcachgjamtmblgntk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xlpwbskt5-chgng2t7v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Масалиевым И.А., Тагаевым Р.Б. и Жумабековой Т.А.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w264iafidvomytabtmr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июня 2009 года №385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Масалиевым И.А., Тагаевым Р.Б. и Жумабековой Т.А.</w:t>
      </w:r>
    </w:p>
    <w:p>
      <w:pPr>
        <w:spacing w:after="120"/>
        <w:jc w:val="both"/>
      </w:pPr>
      <w:r>
        <w:rPr>
          <w:rFonts w:ascii="Arial" w:cs="Arial" w:eastAsia="Arial" w:hAnsi="Arial"/>
          <w:sz w:val="24"/>
          <w:szCs w:val="24"/>
        </w:rPr>
        <w:t xml:space="preserve">В соответствии с пунктом 3 статьи 65 </w:t>
      </w:r>
      <w:hyperlink w:history="1" r:id="rIdpg6_eslz0w94olcbvzr7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oby5rtvxkqqypvqwxt1z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Масалиевым И.А., Тагаевым Р.Б. и Жумабековой Т.А. (далее - проект Закона), имеет к нему следующие замечания и предложения.</w:t>
      </w:r>
    </w:p>
    <w:p>
      <w:pPr>
        <w:spacing w:after="120"/>
        <w:jc w:val="both"/>
      </w:pPr>
      <w:r>
        <w:rPr>
          <w:rFonts w:ascii="Arial" w:cs="Arial" w:eastAsia="Arial" w:hAnsi="Arial"/>
          <w:sz w:val="24"/>
          <w:szCs w:val="24"/>
        </w:rPr>
        <w:t xml:space="preserve">В названии и по всему тексту проекта Закона предлагаем слова "наркотические средства и психотропные вещества" заменить словами "психоактивные вещества", так как данный термин является официальным медицинским термином. Кроме того, в понятие "наркотические средства и психотропные вещества" не входят вещества, способные вызывать зависимость (табак, средства бытовой химии, вещества, относящиеся к прекурсорам, и другие). Соответственно, в статье 1 проекта Закона дать определение понятию "психоактивные вещества" с пояснением отличий от наркотических средств и психотропных веществ.</w:t>
      </w:r>
    </w:p>
    <w:p>
      <w:pPr>
        <w:spacing w:after="120"/>
        <w:jc w:val="both"/>
      </w:pPr>
      <w:r>
        <w:rPr>
          <w:rFonts w:ascii="Arial" w:cs="Arial" w:eastAsia="Arial" w:hAnsi="Arial"/>
          <w:sz w:val="24"/>
          <w:szCs w:val="24"/>
        </w:rPr>
        <w:t xml:space="preserve">В статье 1 проекта Закона предлагаем изменить содержание определений "медицинское обследование" и "медицинское освидетельствование", изложив их в следующей редакции:</w:t>
      </w:r>
    </w:p>
    <w:p>
      <w:pPr>
        <w:spacing w:after="120"/>
        <w:jc w:val="both"/>
      </w:pPr>
      <w:r>
        <w:rPr>
          <w:rFonts w:ascii="Arial" w:cs="Arial" w:eastAsia="Arial" w:hAnsi="Arial"/>
          <w:sz w:val="24"/>
          <w:szCs w:val="24"/>
        </w:rPr>
        <w:t xml:space="preserve">"медицинское обследование - обследование лица в амбулаторных и стационарных условиях с целью установления психических и поведенческих расстройств, связанных с употреблением психоактивных веществ;</w:t>
      </w:r>
    </w:p>
    <w:p>
      <w:pPr>
        <w:spacing w:after="120"/>
        <w:jc w:val="both"/>
      </w:pPr>
      <w:r>
        <w:rPr>
          <w:rFonts w:ascii="Arial" w:cs="Arial" w:eastAsia="Arial" w:hAnsi="Arial"/>
          <w:sz w:val="24"/>
          <w:szCs w:val="24"/>
        </w:rPr>
        <w:t xml:space="preserve">медицинское освидетельствование - амбулаторный осмотр лица с целью установления или исключения интоксикации на текущий период времени;".</w:t>
      </w:r>
    </w:p>
    <w:p>
      <w:pPr>
        <w:spacing w:after="120"/>
        <w:jc w:val="both"/>
      </w:pPr>
      <w:r>
        <w:rPr>
          <w:rFonts w:ascii="Arial" w:cs="Arial" w:eastAsia="Arial" w:hAnsi="Arial"/>
          <w:sz w:val="24"/>
          <w:szCs w:val="24"/>
        </w:rPr>
        <w:t xml:space="preserve">Также предлагаем дополнить статью 1 проекта Закона определением понятия "судебно-наркологическая экспертиза".</w:t>
      </w:r>
    </w:p>
    <w:p>
      <w:pPr>
        <w:spacing w:after="120"/>
        <w:jc w:val="both"/>
      </w:pPr>
      <w:r>
        <w:rPr>
          <w:rFonts w:ascii="Arial" w:cs="Arial" w:eastAsia="Arial" w:hAnsi="Arial"/>
          <w:sz w:val="24"/>
          <w:szCs w:val="24"/>
        </w:rPr>
        <w:t xml:space="preserve">Принимая во внимание пункт 2.5 Инструкции по законодательной технике, утвержденной постановлением Жогорку Кенеша Кыргызской Республики от 8 июня 2006 года № 1064-III "Об утверждении Инструкции по законодательной технике", предлагаем пересмотреть редакцию преамбулы проекта Закона, так как она не формулирует предмет регулирования.</w:t>
      </w:r>
    </w:p>
    <w:p>
      <w:pPr>
        <w:spacing w:after="120"/>
        <w:jc w:val="both"/>
      </w:pPr>
      <w:r>
        <w:rPr>
          <w:rFonts w:ascii="Arial" w:cs="Arial" w:eastAsia="Arial" w:hAnsi="Arial"/>
          <w:sz w:val="24"/>
          <w:szCs w:val="24"/>
        </w:rPr>
        <w:t xml:space="preserve">Учитывая, что в соответствии с законодательством Кыргызской Республики под словом "дети" понимаются все лица, не достигшие 18-летнего возраста, предлагаем по всему тексту проекта Закона слово "подростки" исключить.</w:t>
      </w:r>
    </w:p>
    <w:p>
      <w:pPr>
        <w:spacing w:after="120"/>
        <w:jc w:val="both"/>
      </w:pPr>
      <w:r>
        <w:rPr>
          <w:rFonts w:ascii="Arial" w:cs="Arial" w:eastAsia="Arial" w:hAnsi="Arial"/>
          <w:sz w:val="24"/>
          <w:szCs w:val="24"/>
        </w:rPr>
        <w:t xml:space="preserve">Проект Закона содержит статьи, регламентирующие вопросы добровольного лечения зависимости от наркотических средств и психотропных веществ, а также реализации программ снижения вреда, поэтому нет необходимости дополнительного раскрытия данных понятий в статье 1 законопроекта. Учитывая, что термин "конфиденциальность" не требует расшифровки, нет необходимости раскрытия его содержания в статье 1 проекта Закона.</w:t>
      </w:r>
    </w:p>
    <w:p>
      <w:pPr>
        <w:spacing w:after="120"/>
        <w:jc w:val="both"/>
      </w:pPr>
      <w:r>
        <w:rPr>
          <w:rFonts w:ascii="Arial" w:cs="Arial" w:eastAsia="Arial" w:hAnsi="Arial"/>
          <w:sz w:val="24"/>
          <w:szCs w:val="24"/>
        </w:rPr>
        <w:t xml:space="preserve">В статье 1 законопроекта предлагаем исключить определение понятия "уклонение от медицинского освидетельствования или лечения", поскольку данный термин не используется в законопроекте.</w:t>
      </w:r>
    </w:p>
    <w:p>
      <w:pPr>
        <w:spacing w:after="120"/>
        <w:jc w:val="both"/>
      </w:pPr>
      <w:r>
        <w:rPr>
          <w:rFonts w:ascii="Arial" w:cs="Arial" w:eastAsia="Arial" w:hAnsi="Arial"/>
          <w:sz w:val="24"/>
          <w:szCs w:val="24"/>
        </w:rPr>
        <w:t xml:space="preserve">Учитывая правила юридической техники, предлагаем часть первую статьи 2 проекта Закона изложить в следующей редакции:</w:t>
      </w:r>
    </w:p>
    <w:p>
      <w:pPr>
        <w:spacing w:after="120"/>
        <w:jc w:val="both"/>
      </w:pPr>
      <w:r>
        <w:rPr>
          <w:rFonts w:ascii="Arial" w:cs="Arial" w:eastAsia="Arial" w:hAnsi="Arial"/>
          <w:sz w:val="24"/>
          <w:szCs w:val="24"/>
        </w:rPr>
        <w:t xml:space="preserve">"Законодательство Кыргызской Республики в сфере профилактики зависимости от наркотических средств и психотропных веществ основывается на Конституции Кыргызской Республики и состоит из настоящего Закона и других нормативных правовых актов, а также из вступивших в установленном законом порядке в силу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sz w:val="24"/>
          <w:szCs w:val="24"/>
        </w:rPr>
        <w:t xml:space="preserve">По всему тексту проекта Закона предлагаем исключить положения, регламентирующие полномочия ряда государственных органов, поскольку в соответствии со статьей 73 Конституции Кыргызской Республики Правительство Кыргызской Республики решает все вопросы государственного управления, за исключением полномочий, отнесенных Конституцией и законами к компетенции Президента Кыргызской Республики и Жогорку Кенеша Кыргызской Республики. Также согласно статье 21 конституционного Закона Кыргызской Республики "О Правительстве Кыргызской Республики" полномочия государственных органов исполнительной власти определяются в положениях, утверждаемых Правительством Кыргызской Республики.</w:t>
      </w:r>
    </w:p>
    <w:p>
      <w:pPr>
        <w:spacing w:after="120"/>
        <w:jc w:val="both"/>
      </w:pPr>
      <w:r>
        <w:rPr>
          <w:rFonts w:ascii="Arial" w:cs="Arial" w:eastAsia="Arial" w:hAnsi="Arial"/>
          <w:sz w:val="24"/>
          <w:szCs w:val="24"/>
        </w:rPr>
        <w:t xml:space="preserve">В абзаце шестом части второй статьи 5 проекта Закона предлагаем уточнить, о структуре какого субъекта идет речь, равно как об основных технологиях, штатах и материально-технической обеспеченности.</w:t>
      </w:r>
    </w:p>
    <w:p>
      <w:pPr>
        <w:spacing w:after="120"/>
        <w:jc w:val="both"/>
      </w:pPr>
      <w:r>
        <w:rPr>
          <w:rFonts w:ascii="Arial" w:cs="Arial" w:eastAsia="Arial" w:hAnsi="Arial"/>
          <w:sz w:val="24"/>
          <w:szCs w:val="24"/>
        </w:rPr>
        <w:t xml:space="preserve">В части третьей статьи 14 проекта Закона слова "и беженцев" предлагаем исключить.</w:t>
      </w:r>
    </w:p>
    <w:p>
      <w:pPr>
        <w:spacing w:after="120"/>
        <w:jc w:val="both"/>
      </w:pPr>
      <w:r>
        <w:rPr>
          <w:rFonts w:ascii="Arial" w:cs="Arial" w:eastAsia="Arial" w:hAnsi="Arial"/>
          <w:sz w:val="24"/>
          <w:szCs w:val="24"/>
        </w:rPr>
        <w:t xml:space="preserve">Предлагаем пересмотреть положения статей 15 и 16 проекта Закона, определяющих, что установление диагноза зависимости от наркотических средств и психотропных веществ не может служить основанием для прекращения трудового договора и что работодатели не имеют право требовать от работников представления соответствующего медицинского заключения, за исключением перечня специальностей, утверждаемого Правительством Кыргызской Республики. Также отмечаем, что в соответствии со статьей 282 Гражданского </w:t>
      </w:r>
      <w:hyperlink w:history="1" r:id="rIdupxyvudnopf6cl1xcxqg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дело о признании гражданина ограниченно дееспособным или недееспособным может быть возбуждено вследствие злоупотребления человеком спиртными напитками или наркотическими веществами. Кроме того, согласно статье 31 Закона Кыргызской Республики "</w:t>
      </w:r>
      <w:hyperlink w:history="1" r:id="rIdpergoxr2go0pybqy2oy--">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появление государственного служащего на работе в состоянии алкогольного, наркотического или иного токсического опьянения может повлечь его освобождение от работы по инициативе государственного органа. Статьей 76 Трудового кодекса Кыргызской Республики также установлено, что работодатель обязан отстранить работника от работы в случае его появления на работе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Так как исчерпывающий перечень видов деятельности, подлежащих лицензированию, определен статьей 9 Закона Кыргызской Республики "</w:t>
      </w:r>
      <w:hyperlink w:history="1" r:id="rIdg_idu1j9c3ptb4q-ftrf_">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и учитывая, что вопросы лицензирования могут быть отрегулированы только в рамках названного Закона и Положения о лицензировании отдельных видов предпринимательской деятельности, утвержденного постановлением Правительства Кыргызской Республики от 31 мая 2001 года № 260, предлагаем в части 1 статьи 19 проекта Закона слова ", имеющих лицензию на данный вид деятельности" исключить.</w:t>
      </w:r>
    </w:p>
    <w:p>
      <w:pPr>
        <w:spacing w:after="120"/>
        <w:jc w:val="both"/>
      </w:pPr>
      <w:r>
        <w:rPr>
          <w:rFonts w:ascii="Arial" w:cs="Arial" w:eastAsia="Arial" w:hAnsi="Arial"/>
          <w:sz w:val="24"/>
          <w:szCs w:val="24"/>
        </w:rPr>
        <w:t xml:space="preserve">Принимая во внимание информацию, представленную в справке-обосновании к проекту Закона, о неоднозначных подходах к реализации программ заместительной терапии, считаем, что закупка для лечебных учреждений заменителей наркотиков в будущем может лечь тяжелым бременем на государственный бюджет и привести к неэффективному использованию бюджетных средств, направляемых на финансирование здравоохранения. Также, в статье 28 проекта Закона предлагаем уточнить, за счет средств каких лиц могут быть также возмещены расходы, связанные с осуществлением профилактики зависимости от наркотических средств и психотропных веществ.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kfboiq2nhwumnxt2cs0">
      <w:r>
        <w:rPr>
          <w:rFonts w:ascii="Arial" w:cs="Arial" w:eastAsia="Arial" w:hAnsi="Arial"/>
          <w:color w:val="132D3F"/>
          <w:sz w:val="16"/>
          <w:szCs w:val="16"/>
          <w:u w:val="single"/>
        </w:rPr>
        <w:t xml:space="preserve">dalil.kg/document/90050</w:t>
      </w:r>
    </w:hyperlink>
  </w:p>
  <w:p>
    <w:pPr>
      <w:spacing w:after="0" w:before="40"/>
      <w:jc w:val="center"/>
    </w:pPr>
    <w:hyperlink w:history="1" r:id="rIdixocdhkok6dyem-d2hr8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quean5uittonz_dgp58" Type="http://schemas.openxmlformats.org/officeDocument/2006/relationships/hyperlink" Target="https://dalil.kg/document/159126" TargetMode="External"/><Relationship Id="rId9xjdcachgjamtmblgntku" Type="http://schemas.openxmlformats.org/officeDocument/2006/relationships/hyperlink" Target="https://dalil.kg/document/1" TargetMode="External"/><Relationship Id="rIdxlpwbskt5-chgng2t7vxi" Type="http://schemas.openxmlformats.org/officeDocument/2006/relationships/hyperlink" Target="https://dalil.kg/document/1754" TargetMode="External"/><Relationship Id="rIdw264iafidvomytabtmroj" Type="http://schemas.openxmlformats.org/officeDocument/2006/relationships/hyperlink" Target="https://dalil.kg/document/90050" TargetMode="External"/><Relationship Id="rIdpg6_eslz0w94olcbvzr7h" Type="http://schemas.openxmlformats.org/officeDocument/2006/relationships/hyperlink" Target="https://dalil.kg/document/1" TargetMode="External"/><Relationship Id="rIdoby5rtvxkqqypvqwxt1zn" Type="http://schemas.openxmlformats.org/officeDocument/2006/relationships/hyperlink" Target="https://dalil.kg/document/1754" TargetMode="External"/><Relationship Id="rIdupxyvudnopf6cl1xcxqgu" Type="http://schemas.openxmlformats.org/officeDocument/2006/relationships/hyperlink" Target="https://dalil.kg/document/4" TargetMode="External"/><Relationship Id="rIdpergoxr2go0pybqy2oy--" Type="http://schemas.openxmlformats.org/officeDocument/2006/relationships/hyperlink" Target="https://dalil.kg/document/1513" TargetMode="External"/><Relationship Id="rIdg_idu1j9c3ptb4q-ftrf_"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kfboiq2nhwumnxt2cs0" Type="http://schemas.openxmlformats.org/officeDocument/2006/relationships/hyperlink" Target="https://dalil.kg/document/90050" TargetMode="External"/><Relationship Id="rIdixocdhkok6dyem-d2hr8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2026-09-24T14:30:47.301Z</dcterms:created>
  <dcterms:modified xsi:type="dcterms:W3CDTF">2026-09-24T14:30:47.301Z</dcterms:modified>
</cp:coreProperties>
</file>

<file path=docProps/custom.xml><?xml version="1.0" encoding="utf-8"?>
<Properties xmlns="http://schemas.openxmlformats.org/officeDocument/2006/custom-properties" xmlns:vt="http://schemas.openxmlformats.org/officeDocument/2006/docPropsVTypes"/>
</file>