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rvdoxfj-m9haffx29na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июня 2009 года № 387</w:t>
      </w:r>
    </w:p>
    <w:p>
      <w:pPr>
        <w:spacing w:after="120"/>
        <w:jc w:val="both"/>
      </w:pPr>
      <w:r>
        <w:rPr>
          <w:rFonts w:ascii="Arial" w:cs="Arial" w:eastAsia="Arial" w:hAnsi="Arial"/>
          <w:sz w:val="24"/>
          <w:szCs w:val="24"/>
        </w:rPr>
        <w:t xml:space="preserve">Об утверждении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w:t>
      </w:r>
    </w:p>
    <w:p>
      <w:pPr>
        <w:spacing w:after="120"/>
        <w:jc w:val="both"/>
      </w:pPr>
      <w:r>
        <w:rPr>
          <w:rFonts w:ascii="Arial" w:cs="Arial" w:eastAsia="Arial" w:hAnsi="Arial"/>
          <w:sz w:val="24"/>
          <w:szCs w:val="24"/>
        </w:rPr>
        <w:t xml:space="preserve">В целях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w:t>
      </w:r>
      <w:r>
        <w:rPr>
          <w:rFonts w:ascii="Arial" w:cs="Arial" w:eastAsia="Arial" w:hAnsi="Arial"/>
          <w:sz w:val="24"/>
          <w:szCs w:val="24"/>
        </w:rPr>
        <w:t xml:space="preserve">Конвенции ООН о ликвидации всех форм дискриминации в отношении женщин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r>
        <w:rPr>
          <w:rFonts w:ascii="Arial" w:cs="Arial" w:eastAsia="Arial" w:hAnsi="Arial"/>
          <w:sz w:val="24"/>
          <w:szCs w:val="24"/>
        </w:rPr>
        <w:t xml:space="preserve">План мероприятий</w:t>
      </w:r>
      <w:r>
        <w:rPr>
          <w:rFonts w:ascii="Arial" w:cs="Arial" w:eastAsia="Arial" w:hAnsi="Arial"/>
          <w:sz w:val="24"/>
          <w:szCs w:val="24"/>
        </w:rPr>
        <w:t xml:space="preserve">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w:t>
      </w:r>
      <w:hyperlink w:history="1" r:id="rIdjei8r-ggt_onjhalzlj5s">
        <w:r>
          <w:rPr>
            <w:rFonts w:ascii="Arial" w:cs="Arial" w:eastAsia="Arial" w:hAnsi="Arial"/>
            <w:color w:val="1D4ED8"/>
            <w:sz w:val="24"/>
            <w:szCs w:val="24"/>
            <w:u w:val="single"/>
          </w:rPr>
          <w:t xml:space="preserve">Конвенции ООН</w:t>
        </w:r>
      </w:hyperlink>
      <w:r>
        <w:rPr>
          <w:rFonts w:ascii="Arial" w:cs="Arial" w:eastAsia="Arial" w:hAnsi="Arial"/>
          <w:sz w:val="24"/>
          <w:szCs w:val="24"/>
        </w:rPr>
        <w:t xml:space="preserve"> о ликвидации всех форм дискриминации в отношении женщин (далее - План мероприятий).</w:t>
      </w:r>
    </w:p>
    <w:p>
      <w:pPr>
        <w:spacing w:after="120"/>
        <w:jc w:val="both"/>
      </w:pPr>
      <w:r>
        <w:rPr>
          <w:rFonts w:ascii="Arial" w:cs="Arial" w:eastAsia="Arial" w:hAnsi="Arial"/>
          <w:sz w:val="24"/>
          <w:szCs w:val="24"/>
        </w:rPr>
        <w:t xml:space="preserve">2. Установить, что финансовое обеспечение Плана мероприятий осуществляется в пределах бюджета государственных органов и органов местного самоуправления, ответственных за реализацию Плана мероприятий, утвержденных в соответствии с законодательством Кыргызской Республики, а также средств международных организаций и проектов.</w:t>
      </w:r>
    </w:p>
    <w:p>
      <w:pPr>
        <w:spacing w:after="120"/>
        <w:jc w:val="both"/>
      </w:pPr>
      <w:r>
        <w:rPr>
          <w:rFonts w:ascii="Arial" w:cs="Arial" w:eastAsia="Arial" w:hAnsi="Arial"/>
          <w:sz w:val="24"/>
          <w:szCs w:val="24"/>
        </w:rPr>
        <w:t xml:space="preserve">3. Государственным органам и органам местного самоуправления при участии общественных и международных организаций:</w:t>
      </w:r>
    </w:p>
    <w:p>
      <w:pPr>
        <w:spacing w:after="120"/>
        <w:jc w:val="both"/>
      </w:pPr>
      <w:r>
        <w:rPr>
          <w:rFonts w:ascii="Arial" w:cs="Arial" w:eastAsia="Arial" w:hAnsi="Arial"/>
          <w:sz w:val="24"/>
          <w:szCs w:val="24"/>
        </w:rPr>
        <w:t xml:space="preserve">обеспечить выполнение Плана мероприятий;</w:t>
      </w:r>
    </w:p>
    <w:p>
      <w:pPr>
        <w:spacing w:after="120"/>
        <w:jc w:val="both"/>
      </w:pPr>
      <w:r>
        <w:rPr>
          <w:rFonts w:ascii="Arial" w:cs="Arial" w:eastAsia="Arial" w:hAnsi="Arial"/>
          <w:sz w:val="24"/>
          <w:szCs w:val="24"/>
        </w:rPr>
        <w:t xml:space="preserve">по итогам полугодия, не позднее 25 числа месяца, следующего за отчетным периодом, представлять информацию о ходе выполнения Плана мероприятий в Аппарат Правительства Кыргызской Республики;</w:t>
      </w:r>
    </w:p>
    <w:p>
      <w:pPr>
        <w:spacing w:after="120"/>
        <w:jc w:val="both"/>
      </w:pPr>
      <w:r>
        <w:rPr>
          <w:rFonts w:ascii="Arial" w:cs="Arial" w:eastAsia="Arial" w:hAnsi="Arial"/>
          <w:sz w:val="24"/>
          <w:szCs w:val="24"/>
        </w:rPr>
        <w:t xml:space="preserve">ежегодно при формировании проекта бюджета ведомства на соответствующий год предусматривать финансирование Плана мероприятий;</w:t>
      </w:r>
    </w:p>
    <w:p>
      <w:pPr>
        <w:spacing w:after="120"/>
        <w:jc w:val="both"/>
      </w:pPr>
      <w:r>
        <w:rPr>
          <w:rFonts w:ascii="Arial" w:cs="Arial" w:eastAsia="Arial" w:hAnsi="Arial"/>
          <w:sz w:val="24"/>
          <w:szCs w:val="24"/>
        </w:rPr>
        <w:t xml:space="preserve">по итогам каждого года вносить предложения в Аппарат Правительства Кыргызской Республики по уточнению Плана мероприятий на предстоящий год.</w:t>
      </w:r>
    </w:p>
    <w:p>
      <w:pPr>
        <w:spacing w:after="120"/>
        <w:jc w:val="both"/>
      </w:pPr>
      <w:r>
        <w:rPr>
          <w:rFonts w:ascii="Arial" w:cs="Arial" w:eastAsia="Arial" w:hAnsi="Arial"/>
          <w:sz w:val="24"/>
          <w:szCs w:val="24"/>
        </w:rPr>
        <w:t xml:space="preserve">4. Аппарату Правительства Кыргызской Республики в двухмесячный срок образовать межведомственную рабочую комиссию для осуществления мониторинга и оценки выполнения Плана мероприятий.</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fwsrifufq3wzd_f0xvc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июня 2009
  года № 387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Заключительные рекомендации Комитета ООН по ликвидации дискриминации в отношении женщин (неофициальный перевод с английского)</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показатели мониторинга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Комитет призывает государство - участник повысить уровень осведомленности в отношении природы косвенной дискриминации и содержащейся в Конвенции концепции реального равенства среди правительственных должностных лиц, работников судебных органов и общественности. Комитет также призывает государство -участника контролировать при помощи поддающихся измерению показателей последствия законов, политики и программ для женщин, оценивать прогресс, достигнутый в деле практической реализации реального равенства женщин и мужчин, и представить соответствующую информацию Комитету в своем следующем докладе. Государству-участнику также предлагается принять законодательное положение, в соответствии с которым государство будет обязано обеспечить такое положение, при котором женщины смогут на практике осуществлять свое право на равенство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мероприятий (конференции, семинары, «круглые столы») для государственных служащих различных уровней, судей, работников правоохранительных органов, представителей гражданского сектора о положениях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тренингов. Количество руководителей различных уровней и сотрудников, прошедших обучение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индикаторов мониторинга и оценки выполнения нормативных правовых актов в сфере гендерного равенства, региональных и отраслевых программ. Проведение мониторинга выполнения нормативных правовых актов в сфере гендерного равенства, региональных и отраслевых программ и включение информации в проект четвертого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индикаторов. Отчет по мониторингу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ведомства, иные органы исполнительной власти, центральные органы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Подготовка и принятие проектов нормативных правовых актов в целях реализации положений Закона КР «О государственных гарантиях равных прав и равных возможностей для мужчин 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нормативных правовых актов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Гендерное равенство обеспечивается </w:t>
            </w:r>
            <w:r>
              <w:rPr>
                <w:rFonts w:ascii="Arial" w:cs="Arial" w:eastAsia="Arial" w:hAnsi="Arial"/>
                <w:sz w:val="24"/>
                <w:szCs w:val="24"/>
              </w:rPr>
              <w:t xml:space="preserve">Конституцией</w:t>
            </w:r>
            <w:r>
              <w:rPr>
                <w:rFonts w:ascii="Arial" w:cs="Arial" w:eastAsia="Arial" w:hAnsi="Arial"/>
                <w:sz w:val="24"/>
                <w:szCs w:val="24"/>
              </w:rPr>
              <w:t xml:space="preserve"> КР, </w:t>
            </w:r>
            <w:r>
              <w:rPr>
                <w:rFonts w:ascii="Arial" w:cs="Arial" w:eastAsia="Arial" w:hAnsi="Arial"/>
                <w:sz w:val="24"/>
                <w:szCs w:val="24"/>
              </w:rPr>
              <w:t xml:space="preserve">Трудовым</w:t>
            </w:r>
            <w:r>
              <w:rPr>
                <w:rFonts w:ascii="Arial" w:cs="Arial" w:eastAsia="Arial" w:hAnsi="Arial"/>
                <w:sz w:val="24"/>
                <w:szCs w:val="24"/>
              </w:rPr>
              <w:t xml:space="preserve">, </w:t>
            </w:r>
            <w:r>
              <w:rPr>
                <w:rFonts w:ascii="Arial" w:cs="Arial" w:eastAsia="Arial" w:hAnsi="Arial"/>
                <w:sz w:val="24"/>
                <w:szCs w:val="24"/>
              </w:rPr>
              <w:t xml:space="preserve">Семейным</w:t>
            </w:r>
            <w:r>
              <w:rPr>
                <w:rFonts w:ascii="Arial" w:cs="Arial" w:eastAsia="Arial" w:hAnsi="Arial"/>
                <w:sz w:val="24"/>
                <w:szCs w:val="24"/>
              </w:rPr>
              <w:t xml:space="preserve">, </w:t>
            </w:r>
            <w:r>
              <w:rPr>
                <w:rFonts w:ascii="Arial" w:cs="Arial" w:eastAsia="Arial" w:hAnsi="Arial"/>
                <w:sz w:val="24"/>
                <w:szCs w:val="24"/>
              </w:rPr>
              <w:t xml:space="preserve">Гражданским</w:t>
            </w:r>
            <w:r>
              <w:rPr>
                <w:rFonts w:ascii="Arial" w:cs="Arial" w:eastAsia="Arial" w:hAnsi="Arial"/>
                <w:sz w:val="24"/>
                <w:szCs w:val="24"/>
              </w:rPr>
              <w:t xml:space="preserve">, Уголовным кодексами КР, </w:t>
            </w:r>
            <w:r>
              <w:rPr>
                <w:rFonts w:ascii="Arial" w:cs="Arial" w:eastAsia="Arial" w:hAnsi="Arial"/>
                <w:sz w:val="24"/>
                <w:szCs w:val="24"/>
              </w:rPr>
              <w:t xml:space="preserve">Кодексом</w:t>
            </w:r>
            <w:r>
              <w:rPr>
                <w:rFonts w:ascii="Arial" w:cs="Arial" w:eastAsia="Arial" w:hAnsi="Arial"/>
                <w:sz w:val="24"/>
                <w:szCs w:val="24"/>
              </w:rPr>
              <w:t xml:space="preserve"> КР «О выборах в Кыргызской Республике», законами КР «О государственных гарантиях равных прав и равных возможностей для мужчин и женщин», «</w:t>
            </w:r>
            <w:r>
              <w:rPr>
                <w:rFonts w:ascii="Arial" w:cs="Arial" w:eastAsia="Arial" w:hAnsi="Arial"/>
                <w:sz w:val="24"/>
                <w:szCs w:val="24"/>
              </w:rPr>
              <w:t xml:space="preserve">О социально-правовой защите от насилия в семье</w:t>
            </w: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 и другими нормативными правовыми актами</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Комитет настоятельно призывает государство - участник принять неотложные меры для проведения правового анализа его законодательства с точки зрения гендерной специфики, с тем, чтобы ликвидировать положения об открытой и скрытой дискриминации. Комитет далее настоятельно призывает государство - участник создать механизм для систематического проведения анализа с учетом гендерного фактора для разработки законов и программ в рамках, основанных на нормативных стандартах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обучения для сотрудников правовых отделов государственных органов по вопросам гендерной экспертизы законодательства и проектов нормативных правовых актов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Количественный и качественный состав сотрудников, прошедших обучение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ведомства, иные органы исполнительной власти,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гендерной экспертизы законодательства, проектов концепций, программ, планов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нормативных правовых актов, концепций, программ, планов, прошедших гендерную экспертизу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ведомства, иные органы исполнительной власти, центральные органы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 закреплены процедуры и механизмы гендерной экспертизы нормативных правовых актов: </w:t>
            </w:r>
            <w:r>
              <w:rPr>
                <w:rFonts w:ascii="Arial" w:cs="Arial" w:eastAsia="Arial" w:hAnsi="Arial"/>
                <w:sz w:val="24"/>
                <w:szCs w:val="24"/>
              </w:rPr>
              <w:t xml:space="preserve">Указ</w:t>
            </w:r>
            <w:r>
              <w:rPr>
                <w:rFonts w:ascii="Arial" w:cs="Arial" w:eastAsia="Arial" w:hAnsi="Arial"/>
                <w:sz w:val="24"/>
                <w:szCs w:val="24"/>
              </w:rPr>
              <w:t xml:space="preserve"> Президента КР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гендерной экспертизы проектов нормативных правовых актов и подготовки соответствующих заключений», Стандарты по проведению отдельных видов специализированных экспертиз проектов законов в Жогорку Кенеше КР, </w:t>
            </w:r>
            <w:r>
              <w:rPr>
                <w:rFonts w:ascii="Arial" w:cs="Arial" w:eastAsia="Arial" w:hAnsi="Arial"/>
                <w:sz w:val="24"/>
                <w:szCs w:val="24"/>
              </w:rPr>
              <w:t xml:space="preserve">Регламент</w:t>
            </w:r>
            <w:r>
              <w:rPr>
                <w:rFonts w:ascii="Arial" w:cs="Arial" w:eastAsia="Arial" w:hAnsi="Arial"/>
                <w:sz w:val="24"/>
                <w:szCs w:val="24"/>
              </w:rPr>
              <w:t xml:space="preserve"> Правительства КР</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Комитет призывает государство - участник принять более активные и конкретные меры для распространения информации о Конвенции, процедурах по Факультативному протоколу и общих рекомендациях Комитета, а также разработать и осуществить предназначенные для работников органов прокуратуры, судей, уполномоченных по правам человека и адвокатов программы, охватывающие все соответствующие аспекты Конвенции и Факультативного протокола. Он также рекомендует постоянно проводить информационно-разъяснительные кампании и юридические семинары для женщин, в том числе сельских, а также для неправительственных организаций, работающих в области женской тематики, чтобы расширить возможности женщин и научить их пользоваться имеющимися в их распоряжении процедурами и средствами борьбы с нарушениями их прав по Конвенции, а также путем использования процедуры подачи жалоб, предусмотренной в Законе «О государственных гарантиях равных прав и равных возможностей для мужчин и женщин». Комитет просит представить в следующем докладе информацию о жалобах, поданных женщинами в соответствии с существующими положениями законодательства, и о связанных с этим результатах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обучающих мероприятий для судей, работников органов прокуратуры, адвокатов, юристов, Аппарата Омбудсмена (Акыйкатчы), судов аксакалов о положениях Конвенции и Факультативного протокола к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тренингов. Количество руководителей различных уровней и сотрудников, прошедших обучение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центры Верховного суда (по согласованию), Генпрокуратура (по согласованию), Омбудсмен (Акыйкатчы) (по согласованию),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информационно-разъяснительных мероприятий по ознакомлению и применению положений Конвенции и положений Закона КР «О государственных гарантиях равных прав и равных возможностей для мужчин 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радио и телепередач, публикаций, семинаров, «круглых столов» и других мероприятий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анализа судебных решений, принятых на основании положений Конвенции и законодательства о гендерном равенстве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судебных решений со ссылкой на положения Конвенции и законодательства о гендерном равенстве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(по согласованию), Судебный департамент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Комитет озабочен случаями браков с участием девушек моложе 18 лет, а также наличием незарегистрированных браков, что является нарушением пункта 2 статьи 16 Конвенции. «18». Комитет просит государство - участник в полном объеме выполнять законы о браке и семье, в которых законный возраст вступления в брак устанавливается с 18 лет для мужчин и женщин, и принять меры для приведения всех браков в соответствие с пунктом 2 статьи 16 Конвенции. Он просит государство - участник включить в его следующий доклад информацию о мерах, принятых в этом отношении, а также о последствиях этих мер для практики регистрации браков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Закон КР «О свободе вероисповедания и религиозных организациях в КР» в части проведения религиозного обряда бракосочетания после регистрации брака в органах записи актов гражданского состояния и в другие нормативные правовые акты, касающихся условий и порядка заключения брака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поправок в Закон КР «О внесении изменений и дополнений в Закон КР «О свободе вероисповедания и религиозных организациях в КР» и в другие нормативные правовые акты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Госрелигии, заинтересованные министерства и ведомства, центральные органы управлений религиозных организаций (по согласованию),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ст.14</w:t>
            </w:r>
            <w:r>
              <w:rPr>
                <w:rFonts w:ascii="Arial" w:cs="Arial" w:eastAsia="Arial" w:hAnsi="Arial"/>
                <w:sz w:val="24"/>
                <w:szCs w:val="24"/>
              </w:rPr>
              <w:t xml:space="preserve"> Семейного кодекса КР брачный возраст устанавливается в 18 лет, при наличии уважительных причин исполнительно-распорядительные органы местного самоуправления вправе разрешить вступить в брак лицам женского пола, достигшим возраста 16 лет. Согласно ст.21 </w:t>
            </w:r>
            <w:r>
              <w:rPr>
                <w:rFonts w:ascii="Arial" w:cs="Arial" w:eastAsia="Arial" w:hAnsi="Arial"/>
                <w:sz w:val="24"/>
                <w:szCs w:val="24"/>
              </w:rPr>
              <w:t xml:space="preserve">Закона</w:t>
            </w:r>
            <w:r>
              <w:rPr>
                <w:rFonts w:ascii="Arial" w:cs="Arial" w:eastAsia="Arial" w:hAnsi="Arial"/>
                <w:sz w:val="24"/>
                <w:szCs w:val="24"/>
              </w:rPr>
              <w:t xml:space="preserve"> КР «О свободе вероисповедания и религиозных организациях в КР» допускается древний обряд мусульманства обрезание и освящение брака по мусульманскому обычаю в мечети, в семье для мусульман, а также крещение, венчание в церкви для христиан при заключении брака наряду с гражданской регистрацией</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В соответствии со своими предыдущими заключительными замечаниями Комитет рекомендует провести по всей стране массовую общественно-просветительскую кампанию в отношении насилия в семье. Он также рекомендует, чтобы государство -член обеспечило эффективное применение существующих правовых норм в данном контексте, в частности сотрудниками правоохранительных органов; чтобы были усилены программы профессиональной подготовки сотрудников полиции и чтобы судебные органы получили в свое распоряжение существующие механизмы, эффективно использовали и укрепляли их в целях обеспечения надлежащей защиты прав пострадавших от бытового насилия. Комитет далее рекомендует выделить необходимые средства из государственного бюджета на цели программ по борьбе с насилием в отношении женщин. Комитет также просит включить в следующий доклад подробную информацию о сексуальном насилии, включая сексуальные домогательства и меры для их искоренения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ежегодной информационной кампании «16 дней против насилия в отношении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распоряжения Правительства КР о проведении информационной кампании. Количество проведенных мероприятий. Количество участников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ведомства, иные органы исполнительной власти, МГА, ОМСУ (по согласованию), центральные органы (по согласованию), центральные органы управлений религиозных организаций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кампании ежегодно проводятся с 25 ноября в Международный день борьбы с насилием в отношении женщин по 10 декабря в Международный день прав человека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обучающих мероприятий для судей, работников органов прокуратуры, правоохранительных органов, судов аксакалов по правоприменительной практике законодательства КР в области социально-правовой защиты от насилия в семье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(не менее 2-х раз в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центры Верховного суда (по согласованию), Генеральной прокуратуры (по согласованию), МВД,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Включение в программы учебных заведений правоохранительных и судебных органов вопросов предупреждения, пресечения насилия в семье, а также защиты пострадавших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учебных часов в программах обучения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центры Верховного суда (по согласованию), Генеральной прокуратуры (по согласованию), МВД,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исследования о сексуальном насилии, включая сексуальные домогательства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проведено, рекомендации обсуждены, разработаны меры по их реализации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Уголовным кодексом КР предусмотрены нормы ответственности за преступления против половой неприкосновенности, половой свободы личности</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Комитет по-прежнему серьезно озабочен сохранением случаев похищения невест, несмотря на то, что подобная практика запрещена законодательством, и отмечает, что эта проблема также поднималась в его предыдущих замечаниях. Он также озабочен тем, что подобная практика приводит к случаям насильственного брака в нарушение статьи 16 Конвенции. Комитет также обеспокоен наличием многоженства, несмотря на то, что оно запрещено законодательством государства-участника. «22». Комитет рекомендует государству-участнику принять незамедлительные меры для обеспечения полного уважения законов, предусматривающих уголовную ответственность за похищение невест, насильственные браки и многоженство. В частности, Комитет настоятельно призывает государство - участник принять надлежащие меры для регистрации, расследования и уголовного преследования всех случаев, связанных с этими явлениями, даже в отсутствие формальных жалоб. Комитет также рекомендует государству-участнику принять срочные и эффективные меры, включая подготовку сотрудников судебных и правоохранительных органов, и проводить на постоянной основе крупномасштабные общественно-просветительские кампании с целью ликвидации подобной практики. В этом отношении критическую роль должны сыграть средства массовой информации. Государству-участнику также предлагается провести анализ причин существования и распространения подобных явлений, с тем, чтобы лучше понять, какие меры необходимо принять для их искоренения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и дополнений в Уголовный кодекс КР, в части усиления санкций, касающихся принудительного вступления женщин в брачные отношения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поправок в Уголовный кодекс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Ст.154</w:t>
            </w:r>
            <w:r>
              <w:rPr>
                <w:rFonts w:ascii="Arial" w:cs="Arial" w:eastAsia="Arial" w:hAnsi="Arial"/>
                <w:sz w:val="24"/>
                <w:szCs w:val="24"/>
              </w:rPr>
              <w:t xml:space="preserve"> Уголовного кодекса КР за принуждение к вступлению в фактические брачные отношения с лицом, не достигшим шестнадцатилетнего возраста предусматривается наказание штрафом в размере от ста до пятисот расчетных показателей либо исправительными работами на срок до двух лет, либо ограничением свободы на срок до пяти лет; похищение лица, не достигшего шестнадцатилетнего возраста, для вступления в фактические брачные отношения наказывается лишением свободы на срок от трех до семи лет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информационно-просветительских кампаний по проблеме «кража невест» и ее негативных последствий, многоженства, насилия в отношении женщин с целью искоренения подобных фактов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радио и телепередач. Периодичность публикаций и передач не менее 2 раз в квартал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МГА, ОМСУ (по согласованию), НТРК (по согласованию), ТРК «ЭлТР»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исследования по проблеме «кража невест»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обсуждены, распространены и внедрены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Комитет рекомендует государству-участнику укрепить политику и осуществить программы, включая агитационные и просветительские кампании, предназначенные для женщин и мужчин, в том числе в средствах массовой информации, и направленные на ликвидацию стереотипов в отношении роли женщин и мужчин в обществе и в семье в соответствии со статьями 2(f) и 5(a) Конвенции. Он также рекомендует поощрять средства массовой информации к созданию позитивного имиджа женщин и к поощрению ценности гендерного равноправия для общества в целом. Он далее призывает государство - участник на периодической основе проводить обзор принятых мер с целью оценки их воздействия, принимать надлежащие меры и сообщить о них Комитету в своем следующем докладе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Организация и проведение информационных мероприятий, направленных на активизацию участия женщин в политической, социальной, экономической, культурной и иных областях жизнедеятельности общества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радио и телепередач. Периодичность публикаций и передач не менее 2 раз в квартал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ведомства, иные органы исполнительной власти, МГА, ОМСУ (по согласованию), центральные органы (по согласованию), НТРК (по согласованию), ТРК «ЭлТР» (по согласованию), частные телерадиокомпании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в учебные программы образовательных учреждений всех уровней вопросов гендерного равенства и гендерного права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учебных часов в программах обучения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Госпрофтех,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Организация и проведение ежегодного конкурса среди СМИ на лучшее освещение темы гендерного равенства в Кыргызстане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принявших участие и награжденных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Минкультинформ, СМИ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анализа принятых мер по искоренению Гендерных стереотипов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проведен, разработаны меры и включены в План мероприятий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ОМСУ (по согласованию), МГА,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Комитет рекомендует государству-участнику срочно создать специальный орган, который нес бы особую ответственность за решение гендерных проблем, который должен быть обеспечен достаточным объемом ресурсов как людских, так и финансовых и имел бы четко определенный законодательный мандат, с тем, чтобы он мог разрабатывать и координировать эффективные и последовательные мероприятия и программы с учетом гендерного фактора, которые будут эффективно включены в законодательство, и требовать, в связи с этим, отчетности от всех министерств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о создании уполномоченного государственного органа в области гендерной политики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Правительства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Принимая во внимание важную роль неправительственных организаций в деле осуществления гарантий, предусмотренных в Конвенции, в частности, в силу того, что неправительственные организации осуществляют управление большинством центров регулирования кризисных ситуаций в отношении женщин, ставших жертвами насилия и торговли или сексуальной эксплуатации в Кыргызстане, Комитет настоятельно призывает государство - участник предоставить адекватную поддержку и финансирование для таких организаций. Комитет предлагает государству-участнику более активно и на более постоянной основе взаимодействовать с организациями гражданского общества и привлекать неправительственные организации к подготовке следующего периодического доклада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Оказание содействия кризисным центрам в обеспечении помещениями, софинансирование их деятельности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кризисных центров, получивших помощь. Сумма выделенных средств из местных бюджетов. Количество помещений, переданных кризисным центрам безвозмездно в аренду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Кризисные центры,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Формирование, размещение и реализация государственных социальных заказов на оказание социально-правовой помощи, пострадавшим от насилия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реализованных государственных социальных заказов. Количество проектов, направленных на оказание социально-правовой помощи, пострадавшим от насилия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МОиН, Минздрав, МГА, ОМСУ (по согласованию),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Обеспечение участия неправительственных организаций в подготовке проекта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НПО, принявших участие в подготовке проекта очередного периодического доклада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Комитет настоятельно призывает государство - участник представить всеобъемлющее исследование о динамике торговли людьми, с тем, чтобы обеспечить понимание этого явления и его факторов, чтобы государство - участник могло лучше понять причины и средства, используемые торговцами людьми, чтобы предотвратить дальнейшее развитие этого явления, чтобы жертвы могли на практике воспользоваться надлежащей защитой и чтобы привлекать к ответственности и осуществлять наказание лиц, виновных в такой практике. Государству-участнику предлагается представить информацию о принятых мерах в этом отношении, в том числе представить подробные статистические данные. Государству-участнику также предлагается осуществлять на систематической основе информационные кампании о связанных с этим опасностях и причинах торговли людьми, и в частности уделять особое внимание осуществлению программ юридической грамотности для сельских женщин в этой связи. Далее государству-участнику предлагается применять системы эффективного мониторинга за рабочимиигрантами, с тем, чтобы определить наличие связей с торговлей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исследования по проблеме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проведено, разработаны меры и включены в План мероприятий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ГКМЗ,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информационно-разъяснительной кампании среди населения по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Количество информационных материалов, распространенных в регионах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ГКМЗ,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Осуществление мониторинга трудоустройства граждан КР за пределами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выявленных фактов торговли людьми. Количество принятых судебных решений по фактам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ГКМЗ, МВД, МИД, Генпрокуратура (по согласованию),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Комитет рекомендует государству-участнику рассмотреть вопрос о более широком использовании временных специальных мер, в том числе путем выделения ресурсов и создания стимулов, целевого привлечения кадров и установления временных сроков и целей в соответствии с пунктом 1 статьи 4 Конвенции и общей рекомендацией № 25 Комитета, с тем, чтобы ускорить осуществление де-факто равенства женщин с мужчинами на уровне принятия решений, в области экономики, образования и в области принятия решений на уровне политических партий. Он также рекомендует государству-участнику включить в него положения, касающиеся законодательства о равенстве, с тем, чтобы поощрить использование временных специальных мер, как в деятельности государственного, так и в деятельности частного секторов. «34». Комитет предлагает государству-участнику принять меры, включая временные специальные меры, в соответствии с пунктом 1 статьи 4 Конвенции и общими рекомендациями № 23 и 25 Комитета, с тем, чтобы ускорить обеспечение полного и равноправного участия женщин в избираемых и назначаемых органах, в том числе на международном уровне. Такие меры должны включать обусловленные временными рамками целевые показатели, осуществление программ профессиональной подготовки по вопросам руководящей деятельности и переговорных навыков для нынешних и будущих женщин-руководителей, а также меры регулярного мониторинга в отношении достигнутого прогресса и достигнутых результатов. Он также рекомендует государству-участнику обратить в этой связи внимание на деятельность политических партий. Он настоятельно призывает государство - участник проводить кампании, с тем, чтобы повысить осведомленность о важном значении участия женщин в государственной и политической жизни и на уровне принятия политических решений. «36». В связи с предыдущими заключительными замечаниями Комитет настоятельно призывает государство - участник принять меры, с тем, чтобы обеспечить равные возможности для женщин и мужчин на рынке труда, в частности путем принятия специальных временных мер в соответствии с пунктом 1 статьи 4 Конвенции и общей рекомендацией Комитета № 25. Он настоятельно призывает государство - участник обеспечить, чтобы во всех программах, связанных с созданием рабочих мест, учитывались гендерные факторы и чтобы женщины эффективно получали выгоды от всех программ, связанных с поддержкой предпринимательской деятельности. Комитет рекомендует государству-участнику принять меры, с тем, чтобы сократить размер пропасти и ликвидировать существующие различия между мужчинами и женщинами в плане заработной платы. Он также рекомендует усилить существующие меры, позволяющие обеспечить соответствие возможности в области трудоустройства для членов семьи и дополнительные меры, чтобы обеспечить совместное выполнение семейных и бытовых обязанностей мужчинами и женщинами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специальных мер, направленных:</w:t>
            </w:r>
          </w:p>
          <w:p>
            <w:pPr>
              <w:jc w:val="left"/>
            </w:pPr>
            <w:r>
              <w:rPr>
                <w:rFonts w:ascii="Arial" w:cs="Arial" w:eastAsia="Arial" w:hAnsi="Arial"/>
                <w:sz w:val="24"/>
                <w:szCs w:val="24"/>
              </w:rPr>
              <w:t xml:space="preserve">на повышение возможностей женщин в процессе выборов в местные органы власти;</w:t>
            </w:r>
          </w:p>
          <w:p>
            <w:pPr>
              <w:jc w:val="left"/>
            </w:pPr>
            <w:r>
              <w:rPr>
                <w:rFonts w:ascii="Arial" w:cs="Arial" w:eastAsia="Arial" w:hAnsi="Arial"/>
                <w:sz w:val="24"/>
                <w:szCs w:val="24"/>
              </w:rPr>
              <w:t xml:space="preserve">на расширение экономических возможностей женщин;</w:t>
            </w:r>
          </w:p>
          <w:p>
            <w:pPr>
              <w:jc w:val="left"/>
            </w:pPr>
            <w:r>
              <w:rPr>
                <w:rFonts w:ascii="Arial" w:cs="Arial" w:eastAsia="Arial" w:hAnsi="Arial"/>
                <w:sz w:val="24"/>
                <w:szCs w:val="24"/>
              </w:rPr>
              <w:t xml:space="preserve">на сокращение вертикальной и горизонтальной гендерной сегрегации на рынке труда;</w:t>
            </w:r>
          </w:p>
          <w:p>
            <w:pPr>
              <w:jc w:val="left"/>
            </w:pPr>
            <w:r>
              <w:rPr>
                <w:rFonts w:ascii="Arial" w:cs="Arial" w:eastAsia="Arial" w:hAnsi="Arial"/>
                <w:sz w:val="24"/>
                <w:szCs w:val="24"/>
              </w:rPr>
              <w:t xml:space="preserve">на сокращение разницы между средней заработной платой женщин и мужчин;</w:t>
            </w:r>
          </w:p>
          <w:p>
            <w:pPr>
              <w:jc w:val="left"/>
            </w:pPr>
            <w:r>
              <w:rPr>
                <w:rFonts w:ascii="Arial" w:cs="Arial" w:eastAsia="Arial" w:hAnsi="Arial"/>
                <w:sz w:val="24"/>
                <w:szCs w:val="24"/>
              </w:rPr>
              <w:t xml:space="preserve">при найме на работу в органы государственной и муниципальной власти, повышении квалификации и продвижении по службе;</w:t>
            </w:r>
          </w:p>
          <w:p>
            <w:pPr>
              <w:jc w:val="left"/>
            </w:pPr>
            <w:r>
              <w:rPr>
                <w:rFonts w:ascii="Arial" w:cs="Arial" w:eastAsia="Arial" w:hAnsi="Arial"/>
                <w:sz w:val="24"/>
                <w:szCs w:val="24"/>
              </w:rPr>
              <w:t xml:space="preserve">на усиление внимания к нуждам работников с семейными обязанностями;</w:t>
            </w:r>
          </w:p>
          <w:p>
            <w:pPr>
              <w:jc w:val="left"/>
            </w:pPr>
            <w:r>
              <w:rPr>
                <w:rFonts w:ascii="Arial" w:cs="Arial" w:eastAsia="Arial" w:hAnsi="Arial"/>
                <w:sz w:val="24"/>
                <w:szCs w:val="24"/>
              </w:rPr>
              <w:t xml:space="preserve">на расширение занятости женщин из социально-уязвимых категорий населения, в т.ч. через активизацию надомного труда;</w:t>
            </w:r>
          </w:p>
          <w:p>
            <w:pPr>
              <w:jc w:val="left"/>
            </w:pPr>
            <w:r>
              <w:rPr>
                <w:rFonts w:ascii="Arial" w:cs="Arial" w:eastAsia="Arial" w:hAnsi="Arial"/>
                <w:sz w:val="24"/>
                <w:szCs w:val="24"/>
              </w:rPr>
              <w:t xml:space="preserve">на повышение заработной платы работников социальной сферы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меры разработаны и утверждены нормативными правовыми актами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ведомства, иные органы исполнительной власти, АГС (по согласованию), МГА, ОМСУ (по согласованию),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информационных мероприятий в целях повышения осведомленности женщин в вопросах участия в политической жизни страны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не менее 2-х раз в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Комитет рекомендует, чтобы в соответствии с общей рекомендацией № 24, касающейся женщин и здоровья, государство - участник в полной мере применяло целостный, основанный на жизненном цикле подход к здоровью женщин. Комитет настоятельно призывает государство - участник обеспечить доступное, недорогое и адекватное медицинское обеспечение для всех сегментов населения и, в частности, для сельских женщин. Он рекомендует государству-участнику усилить меры по сокращению показателей материнской и младенческой смертности, а также показатели распространения туберкулеза и других заболеваний среди женщин. Он также настоятельно призывает государство - участник принять эффективные меры, с тем, чтобы решить проблему лечения и предотвращения алкоголизма и злоупотребления наркотиками среди женщин. Он рекомендует принять меры, с тем, чтобы расширить осведомленность о наличии доступных методов контрацепции и обеспечить доступ к ним, и рекомендует широко пропагандировать половое образование, основным объектом которого являются девочки и мальчики подростки. Комитет предлагает государству-участнику рассмотреть вопрос о распространении широковещательных программ по вопросам сексуального и репродуктивного здоровья в средствах массовой информации и расширить осведомленность общественности по вопросам репродуктивного здоровья. Он также настоятельно призывает государство - участник осуществлять тщательный контроль за предоставлением медицинских услуг, с тем, чтобы убедиться, что они учитывают гендерные факторы и озабоченности всех женщин в отношении здоровья, в том числе женщин в сельских районах. Комитет предлагает государству-участнику использовать свою общую рекомендацию № 24 в качестве основы для действий, с тем, чтобы обеспечить учет гендерных факторов во всех областях политики и программ в области здравоохранения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здоровья сельских женщин по структуре причин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опубликован, рекомендации обсуждены, разработаны и реализованы меры по улучшению ситуации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исследования по оценке реагирования служб здравоохранения на насилие в отношении женщин, детей и пожилых людей, в т.ч. по механизму сбора и анализа статистических данных о пострадавших от насилия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опубликовано, рекомендации обсуждены, разработаны и реализованы меры. Показатели материнской и младенческой смертности, заболеваемости туберкулезом, ВИЧ/СПИДом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Омбудсмен (Акыйкатчы)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«круглых столов», направленных на профилактику злоупотреблений алкоголем и наркотиками среди женщин, на пропаганду здорового образа жизни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«круглых столов», не менее 2-раз в год. Ежеквартальные показатели заболеваемости алкоголизмом и наркоманией среди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РО «СПИД», Омбудсмен (Акыйкатчы)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исследования о состоянии здоровья подростков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опубликовано, рекомендации обсуждены, разработаны и реализованы меры по улучшению ситуации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Минобразования, Госпрофтех,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Разработка и внедрение информационно-образовательных программ по вопросам репродуктивного здоровья и полового просвещения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программ, публикаций, передач в СМИ. Количество участников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Минздрав, Госпрофтех, Минкультинформ, НТРК (по согласованию), ТРК «ЭлТР»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Комитет выражает озабоченность в связи с экономическим положением женщин в результате развода. Он, в частности, испытывает озабоченность в связи с положением женщин в сельских и отдаленных районах, а также в связи с отсутствием конкретных положений, гарантирующих на практике права собственности женщин, состоящих в браке де-факто. «40». Комитет призывает государство -участника провести анализ числа случаев браков де-факто, с тем, чтобы осуществить оценку экономического положения женщин при раздельном проживании, а также принять законы и положения, защищающие права собственности женщин в случае расторжения брака или союза де-факто. Комитет также просит государство -участника включить в его следующий периодический доклад информацию об осуществлении в этой связи исследованиях, а также о результатах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исследования по гражданским бракам в КР и включение информации в проект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опубликовано, рекомендации обсуждены, разработаны и реализованы меры по улучшению ситуации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Государству-участнику предлагается предоставить всеобъемлющие статистические данные о положении сельских женщин с разбивкой по признакам возраста, пола, профессиональной группы, дохода и т.д. в его четвертом периодическом докладе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введение статистических данных о положении сельских женщин с разбивкой по признакам возраста, пола, профессиональной группы, дохода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данные разработаны и публикуются в ежегодном сборнике «Женщины и мужчины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(по согласованию), МТСР, Минздрав, МОиН, МЭРТ, ГКМЗ, МВД, МГА, ОМСУ (по согласованию), центральные органы,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Государству-участнику предлагается принять все соответствующие меры, с тем, чтобы обеспечить применение Конвенции ко всем женщинам без дискриминации, а также принять все необходимые меры, чтобы защитить их от дискриминации и насилия со стороны должностных и частных лиц</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адаптированного варианта Конвенции и его распространение в регионах в целях ознакомления и применения его положений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адаптированного и распространенного варианта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Комитет настоятельно призывает государство - участник при осуществлении его обязательств согласно Конвенции в полной мере использовать Пекинскую декларацию и Платформу действий, которые подкрепляют положения Конвенции, и просит государство - участник включить информацию по этому вопросу в его следующий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аналитического отчета о реализации Пекинской платформы действий и включение его в проект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опубликован и включен в очередной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ведомства, иные органы исполнительной власти, МГА, ОМСУ (по согласованию),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Комитет также подчеркивает, что полное и эффективное осуществление Конвенции является непреложным условием для достижения целей в области развития, сформулированных в </w:t>
            </w:r>
            <w:r>
              <w:rPr>
                <w:rFonts w:ascii="Arial" w:cs="Arial" w:eastAsia="Arial" w:hAnsi="Arial"/>
                <w:sz w:val="24"/>
                <w:szCs w:val="24"/>
              </w:rPr>
              <w:t xml:space="preserve">Декларации тысячелетия. Он призывает учитывать гендерные факторы и четко отражать положения Конвенции во всех усилиях, направленных на достижение Целей в области развития, сформулированных в Декларации тысячелетия</w:t>
            </w:r>
            <w:r>
              <w:rPr>
                <w:rFonts w:ascii="Arial" w:cs="Arial" w:eastAsia="Arial" w:hAnsi="Arial"/>
                <w:sz w:val="24"/>
                <w:szCs w:val="24"/>
              </w:rPr>
              <w:t xml:space="preserve">, и просит государство - участник включить информацию по этому вопросу в его следующий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отчета о выполнении Целей развития тысячелетия (цель 3 и 4) и включение его в проект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опубликован и включен в очередной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МЭРТ,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Комитет просит обеспечить широкое распространение в Кыргызстане настоящих замечаний на киргизском и русском языках, с тем, чтобы население, в том числе должностные лица правительства, политики, парламентарии и женские и правозащитные организации, знали о мерах, которые были приняты с целью обеспечения равенства женщин де-юре и де-факто, а также о дальнейших мерах, которые необходимо принять в этом направлении. Он просит государство - участник продолжать активно распространять, в частности среди женских и правозащитных организаций, информацию о Конвенции, Факультативном протоколе, общих рекомендациях Комитета, Пекинской декларации и Платформе действий и итоговом документе двадцать третьей специальной сессии Генеральной Ассамблеи под названием: «Женщины в 2000 году: гендерное равенство, развитие и мир в XXI веке»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Плана мероприятий по реализации Заключительных рекомендаций Комитета ООН по ликвидации дискриминации в отношении женщин к третьему периодическому отчету Кыргызской Республики о выполнению Конвенции ООН по ликвидации всех форм дискриминации в отношении женщин в СМИ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 об утверждении Плана мероприятий опубликовано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Комитет просит государство-участник в течение одного года представить письменную информацию о мерах, принятых по осуществлению рекомендаций, содержащихся в пунктах 20 и 22 выше. Комитет также просит государство-участник рассмотреть вопрос о направлении просьбы о техническом сотрудничестве и содействии, включая услуги консультантов, если это будет необходимо и целесообразно, для осуществления вышеупомянутых рекомендаций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отчета по выполнению пунктов 20 и 22 рекомендаций Комитета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выполнению пунктов 20 и 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МВД, Судебный департамент (по согласованию), Генпрокуратура (по согласованию), Верховный суд (по согласованию), Омбудсмен (Акыйкатчы)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АТС</w:t>
      </w:r>
      <w:r>
        <w:rPr>
          <w:rFonts w:ascii="Arial" w:cs="Arial" w:eastAsia="Arial" w:hAnsi="Arial"/>
          <w:sz w:val="24"/>
          <w:szCs w:val="24"/>
        </w:rPr>
        <w:t xml:space="preserve">	</w:t>
      </w:r>
      <w:r>
        <w:rPr>
          <w:rFonts w:ascii="Arial" w:cs="Arial" w:eastAsia="Arial" w:hAnsi="Arial"/>
          <w:sz w:val="24"/>
          <w:szCs w:val="24"/>
        </w:rPr>
        <w:t xml:space="preserve">Агентство Кыргызской Республики по делам государственной службы</w:t>
      </w:r>
    </w:p>
    <w:p>
      <w:pPr>
        <w:tabs>
          <w:tab w:val="right" w:pos="10178"/>
        </w:tabs>
        <w:spacing w:after="120"/>
      </w:pPr>
      <w:r>
        <w:rPr>
          <w:rFonts w:ascii="Arial" w:cs="Arial" w:eastAsia="Arial" w:hAnsi="Arial"/>
          <w:sz w:val="24"/>
          <w:szCs w:val="24"/>
        </w:rPr>
        <w:t xml:space="preserve">ГКМЗ</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Кыргызской Республики по миграции и занятости</w:t>
      </w:r>
    </w:p>
    <w:p>
      <w:pPr>
        <w:tabs>
          <w:tab w:val="right" w:pos="10178"/>
        </w:tabs>
        <w:spacing w:after="120"/>
      </w:pPr>
      <w:r>
        <w:rPr>
          <w:rFonts w:ascii="Arial" w:cs="Arial" w:eastAsia="Arial" w:hAnsi="Arial"/>
          <w:sz w:val="24"/>
          <w:szCs w:val="24"/>
        </w:rPr>
        <w:t xml:space="preserve">Генпрокуратура</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Госпрофтех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профессионально-техническому образованию при Правительстве Кыргызской Республики</w:t>
      </w:r>
    </w:p>
    <w:p>
      <w:pPr>
        <w:tabs>
          <w:tab w:val="right" w:pos="10178"/>
        </w:tabs>
        <w:spacing w:after="120"/>
      </w:pPr>
      <w:r>
        <w:rPr>
          <w:rFonts w:ascii="Arial" w:cs="Arial" w:eastAsia="Arial" w:hAnsi="Arial"/>
          <w:sz w:val="24"/>
          <w:szCs w:val="24"/>
        </w:rPr>
        <w:t xml:space="preserve">Госрелигии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религии при Правительстве Кыргызской Республики</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Конвенция</w:t>
      </w:r>
      <w:r>
        <w:rPr>
          <w:rFonts w:ascii="Arial" w:cs="Arial" w:eastAsia="Arial" w:hAnsi="Arial"/>
          <w:sz w:val="24"/>
          <w:szCs w:val="24"/>
        </w:rPr>
        <w:t xml:space="preserve">	</w:t>
      </w:r>
      <w:r>
        <w:rPr>
          <w:rFonts w:ascii="Arial" w:cs="Arial" w:eastAsia="Arial" w:hAnsi="Arial"/>
          <w:sz w:val="24"/>
          <w:szCs w:val="24"/>
        </w:rPr>
        <w:t xml:space="preserve">Конвенция ООН по ликвидации всех форм дискриминации в отношении женщин</w:t>
      </w:r>
    </w:p>
    <w:p>
      <w:pPr>
        <w:tabs>
          <w:tab w:val="right" w:pos="10178"/>
        </w:tabs>
        <w:spacing w:after="120"/>
      </w:pPr>
      <w:r>
        <w:rPr>
          <w:rFonts w:ascii="Arial" w:cs="Arial" w:eastAsia="Arial" w:hAnsi="Arial"/>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Местная государственная администрация</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Минкультинформ</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 информации Кыргызской Республики</w:t>
      </w:r>
    </w:p>
    <w:p>
      <w:pPr>
        <w:tabs>
          <w:tab w:val="right" w:pos="10178"/>
        </w:tabs>
        <w:spacing w:after="120"/>
      </w:pPr>
      <w:r>
        <w:rPr>
          <w:rFonts w:ascii="Arial" w:cs="Arial" w:eastAsia="Arial" w:hAnsi="Arial"/>
          <w:sz w:val="24"/>
          <w:szCs w:val="24"/>
        </w:rPr>
        <w:t xml:space="preserve">МОиН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w:t>
      </w:r>
    </w:p>
    <w:p>
      <w:pPr>
        <w:tabs>
          <w:tab w:val="right" w:pos="10178"/>
        </w:tabs>
        <w:spacing w:after="120"/>
      </w:pPr>
      <w:r>
        <w:rPr>
          <w:rFonts w:ascii="Arial" w:cs="Arial" w:eastAsia="Arial" w:hAnsi="Arial"/>
          <w:sz w:val="24"/>
          <w:szCs w:val="24"/>
        </w:rPr>
        <w:t xml:space="preserve">НАМСУ</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w:t>
      </w:r>
    </w:p>
    <w:p>
      <w:pPr>
        <w:tabs>
          <w:tab w:val="right" w:pos="10178"/>
        </w:tabs>
        <w:spacing w:after="120"/>
      </w:pPr>
      <w:r>
        <w:rPr>
          <w:rFonts w:ascii="Arial" w:cs="Arial" w:eastAsia="Arial" w:hAnsi="Arial"/>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Неправительственная организация</w:t>
      </w:r>
    </w:p>
    <w:p>
      <w:pPr>
        <w:tabs>
          <w:tab w:val="right" w:pos="10178"/>
        </w:tabs>
        <w:spacing w:after="120"/>
      </w:pPr>
      <w:r>
        <w:rPr>
          <w:rFonts w:ascii="Arial" w:cs="Arial" w:eastAsia="Arial" w:hAnsi="Arial"/>
          <w:sz w:val="24"/>
          <w:szCs w:val="24"/>
        </w:rPr>
        <w:t xml:space="preserve">НТРК</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 Кыргызской Республики</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Телерадиовещательная компания Кыргызской Республики «Общественное телевидение - ЭлТР»</w:t>
      </w:r>
    </w:p>
    <w:p>
      <w:pPr>
        <w:tabs>
          <w:tab w:val="right" w:pos="10178"/>
        </w:tabs>
        <w:spacing w:after="120"/>
      </w:pPr>
      <w:r>
        <w:rPr>
          <w:rFonts w:ascii="Arial" w:cs="Arial" w:eastAsia="Arial" w:hAnsi="Arial"/>
          <w:sz w:val="24"/>
          <w:szCs w:val="24"/>
        </w:rPr>
        <w:t xml:space="preserve">РО «СПИД»</w:t>
      </w:r>
      <w:r>
        <w:rPr>
          <w:rFonts w:ascii="Arial" w:cs="Arial" w:eastAsia="Arial" w:hAnsi="Arial"/>
          <w:sz w:val="24"/>
          <w:szCs w:val="24"/>
        </w:rPr>
        <w:t xml:space="preserve">	</w:t>
      </w:r>
      <w:r>
        <w:rPr>
          <w:rFonts w:ascii="Arial" w:cs="Arial" w:eastAsia="Arial" w:hAnsi="Arial"/>
          <w:sz w:val="24"/>
          <w:szCs w:val="24"/>
        </w:rPr>
        <w:t xml:space="preserve">Республиканское объединение «СПИД»</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Факультативный протокол</w:t>
      </w:r>
      <w:r>
        <w:rPr>
          <w:rFonts w:ascii="Arial" w:cs="Arial" w:eastAsia="Arial" w:hAnsi="Arial"/>
          <w:sz w:val="24"/>
          <w:szCs w:val="24"/>
        </w:rPr>
        <w:t xml:space="preserve">	</w:t>
      </w:r>
      <w:r>
        <w:rPr>
          <w:rFonts w:ascii="Arial" w:cs="Arial" w:eastAsia="Arial" w:hAnsi="Arial"/>
          <w:sz w:val="24"/>
          <w:szCs w:val="24"/>
        </w:rPr>
        <w:t xml:space="preserve">Факультативный протокол к Конвенции о ликвидации всех форм дискриминации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8jybb3y9rojn2fihhfi">
      <w:r>
        <w:rPr>
          <w:rFonts w:ascii="Arial" w:cs="Arial" w:eastAsia="Arial" w:hAnsi="Arial"/>
          <w:color w:val="132D3F"/>
          <w:sz w:val="16"/>
          <w:szCs w:val="16"/>
          <w:u w:val="single"/>
        </w:rPr>
        <w:t xml:space="preserve">dalil.kg/document/90053</w:t>
      </w:r>
    </w:hyperlink>
  </w:p>
  <w:p>
    <w:pPr>
      <w:spacing w:after="0" w:before="40"/>
      <w:jc w:val="center"/>
    </w:pPr>
    <w:hyperlink w:history="1" r:id="rIdkese_dluvlhr-jen-xp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vdoxfj-m9haffx29na8" Type="http://schemas.openxmlformats.org/officeDocument/2006/relationships/hyperlink" Target="https://dalil.kg/document/159262" TargetMode="External"/><Relationship Id="rIdjei8r-ggt_onjhalzlj5s" Type="http://schemas.openxmlformats.org/officeDocument/2006/relationships/hyperlink" Target="https://dalil.kg/document/90054" TargetMode="External"/><Relationship Id="rIdfwsrifufq3wzd_f0xvczr" Type="http://schemas.openxmlformats.org/officeDocument/2006/relationships/hyperlink" Target="https://dalil.kg/document/900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8jybb3y9rojn2fihhfi" Type="http://schemas.openxmlformats.org/officeDocument/2006/relationships/hyperlink" Target="https://dalil.kg/document/90053" TargetMode="External"/><Relationship Id="rIdkese_dluvlhr-jen-xp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2026-09-25T13:51:16.946Z</dcterms:created>
  <dcterms:modified xsi:type="dcterms:W3CDTF">2026-09-25T13:51:16.946Z</dcterms:modified>
</cp:coreProperties>
</file>

<file path=docProps/custom.xml><?xml version="1.0" encoding="utf-8"?>
<Properties xmlns="http://schemas.openxmlformats.org/officeDocument/2006/custom-properties" xmlns:vt="http://schemas.openxmlformats.org/officeDocument/2006/docPropsVTypes"/>
</file>