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Одобрена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управления государственным долгом 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Внешний долг</w:t>
      </w:r>
    </w:p>
    <w:p>
      <w:pPr>
        <w:spacing w:after="120"/>
        <w:jc w:val="both"/>
      </w:pPr>
      <w:r>
        <w:rPr>
          <w:rFonts w:ascii="Arial" w:cs="Arial" w:eastAsia="Arial" w:hAnsi="Arial"/>
          <w:sz w:val="24"/>
          <w:szCs w:val="24"/>
        </w:rPr>
        <w:t xml:space="preserve">2. Внутренний долг</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управления государственным долгом Кыргызской Республики на 2009-2011 годы (далее - Стратегия) обеспечит потребности Правительства Кыргызской Республики в финансировании с наименьшими долгосрочными затратами и при приемлемом уровне риска. Данная Стратегия предусматривает дальнейшее снижение соотношения государственного долга к ВВП и увеличение доли финансирования в национальной валюте за счет внутреннего рынка.</w:t>
      </w:r>
    </w:p>
    <w:p>
      <w:pPr>
        <w:spacing w:after="120"/>
        <w:jc w:val="both"/>
      </w:pPr>
      <w:r>
        <w:rPr>
          <w:rFonts w:ascii="Arial" w:cs="Arial" w:eastAsia="Arial" w:hAnsi="Arial"/>
          <w:sz w:val="24"/>
          <w:szCs w:val="24"/>
        </w:rPr>
        <w:t xml:space="preserve">Правительство Кыргызской Республики выполнит все обязательства по платежам в надлежащее время, не накапливая новые долги, предпримет усилия к тому, чтобы восстановить статус надежного заемщика на международных рынках, а также примет меры по укреплению рынка государственных ценных бумаг, как дополнительного источника финансирования, принимая во внимание, что такие меры окажут положительное влияние на развитие финансового сектора и более эффективное выполнение денежно-кредитной политики.</w:t>
      </w:r>
    </w:p>
    <w:p>
      <w:pPr>
        <w:spacing w:after="120"/>
        <w:jc w:val="both"/>
      </w:pPr>
      <w:r>
        <w:rPr>
          <w:rFonts w:ascii="Arial" w:cs="Arial" w:eastAsia="Arial" w:hAnsi="Arial"/>
          <w:sz w:val="24"/>
          <w:szCs w:val="24"/>
        </w:rPr>
        <w:t xml:space="preserve">Динамика государственного долга в 2003-2008 годах (в млн. долл.США):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г</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w:t>
            </w:r>
          </w:p>
          <w:p>
            <w:pPr>
              <w:jc w:val="left"/>
            </w:pPr>
            <w:r>
              <w:rPr>
                <w:rFonts w:ascii="Arial" w:cs="Arial" w:eastAsia="Arial" w:hAnsi="Arial"/>
                <w:sz w:val="24"/>
                <w:szCs w:val="24"/>
              </w:rPr>
              <w:t xml:space="preserve">долг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w:t>
            </w:r>
          </w:p>
          <w:p>
            <w:pPr>
              <w:jc w:val="left"/>
            </w:pPr>
            <w:r>
              <w:rPr>
                <w:rFonts w:ascii="Arial" w:cs="Arial" w:eastAsia="Arial" w:hAnsi="Arial"/>
                <w:sz w:val="24"/>
                <w:szCs w:val="24"/>
              </w:rPr>
              <w:t xml:space="preserve">долг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1754,24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1949,77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1882,23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2076,10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ранее принятым обязательствам по внешнему финансированию государственных инвестиционных проектов, в последующие годы будут привлекаться только льготные займы с грантовым элементом, составляющим не менее 35 процентов, а также гранты. Новые меры по реструктуризации долга, эквивалентные невыполнению обязательств, например: невыгодные обменные операции с долгом, предприниматься не будут, если только негативное влияние таких мер на репутацию страны не будет оправдано потенциальным снижением обслуживания долга.</w:t>
      </w:r>
    </w:p>
    <w:p>
      <w:pPr>
        <w:spacing w:after="120"/>
        <w:jc w:val="both"/>
      </w:pPr>
      <w:r>
        <w:rPr>
          <w:rFonts w:ascii="Arial" w:cs="Arial" w:eastAsia="Arial" w:hAnsi="Arial"/>
          <w:sz w:val="24"/>
          <w:szCs w:val="24"/>
        </w:rPr>
        <w:t xml:space="preserve">Реструктуризация долга будет применяться только в отношении непогашенных двусторонних кредитов, полученных от стран, не являющихся членами Парижского клуба, по которым, в рамках протоколов Парижского клуба, предусмотрены обязательства по проведению повторных переговоров.</w:t>
      </w:r>
    </w:p>
    <w:p>
      <w:pPr>
        <w:spacing w:after="120"/>
        <w:jc w:val="both"/>
      </w:pPr>
      <w:r>
        <w:rPr>
          <w:rFonts w:ascii="Arial" w:cs="Arial" w:eastAsia="Arial" w:hAnsi="Arial"/>
          <w:sz w:val="24"/>
          <w:szCs w:val="24"/>
        </w:rPr>
        <w:t xml:space="preserve">Определение окончательного срока для процесса реструктуризации и облегчения бремени по значительной доле государственного внешнего долга позволит стране обратиться за получением странового кредитного рейтинга. Такой рейтинг, при условии достижения соответствующего уровня, не только обеспечит снижение стоимости государственных заимствований, как внешних, так и внутренних, но и облегчит доступ к внешним финансовым источникам для предпринимательского сектора.</w:t>
      </w:r>
    </w:p>
    <w:p>
      <w:pPr>
        <w:spacing w:after="120"/>
        <w:jc w:val="both"/>
      </w:pPr>
      <w:r>
        <w:rPr>
          <w:rFonts w:ascii="Arial" w:cs="Arial" w:eastAsia="Arial" w:hAnsi="Arial"/>
          <w:sz w:val="24"/>
          <w:szCs w:val="24"/>
        </w:rPr>
        <w:t xml:space="preserve">Продолжение усилий по дальнейшему облегчению бремени обслуживания долга посредством реструктуризации вне рамок протоколов Парижского клуба может оказать лишь незначительное положительное влияние на индикаторы устойчивости долга, но помешает намерению страны в получении и повышении странового кредитного рейтинга.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Пороговые уровни государственного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Кыргызской Республики устанавливаются следующие пороговые уровни для дальнейшего развития структуры и размера государственного долга: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6"/>
        <w:gridCol w:w="1748"/>
        <w:gridCol w:w="2547"/>
        <w:gridCol w:w="2547"/>
      </w:tblGrid>
      <w:tr>
        <w:tc>
          <w:tcPr>
            <w:tcW w:type="dxa" w:w="3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w:t>
            </w:r>
          </w:p>
        </w:tc>
        <w:tc>
          <w:tcPr>
            <w:tcW w:type="dxa" w:w="2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2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долг/ВВП</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долг/ВВП</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государственного долга/доходам </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внешнего долга/доходам</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внешнего долга/ВВП</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внешнего долга/экспорту</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долг/экспорту</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будет регулярно контролировать размер, структуру и обычные риски по внутреннему и внешнему государственному долгу и обеспечивать дальнейшее усовершенствование всех бюджетных индикаторов устойчивости и индикаторов устойчивости внешнего долга.</w:t>
      </w:r>
    </w:p>
    <w:p>
      <w:pPr>
        <w:spacing w:after="120"/>
        <w:jc w:val="both"/>
      </w:pPr>
      <w:r>
        <w:rPr>
          <w:rFonts w:ascii="Arial" w:cs="Arial" w:eastAsia="Arial" w:hAnsi="Arial"/>
          <w:sz w:val="24"/>
          <w:szCs w:val="24"/>
        </w:rPr>
        <w:t xml:space="preserve">Такие меры могут включать досрочное погашение кредитов с более высокой процентной ставкой и изучение возможности использования валютных свопов для снижения риска обменного курса по внешнему долгу.</w:t>
      </w:r>
    </w:p>
    <w:p>
      <w:pPr>
        <w:spacing w:after="120"/>
        <w:jc w:val="both"/>
      </w:pPr>
      <w:r>
        <w:rPr>
          <w:rFonts w:ascii="Arial" w:cs="Arial" w:eastAsia="Arial" w:hAnsi="Arial"/>
          <w:sz w:val="24"/>
          <w:szCs w:val="24"/>
        </w:rPr>
        <w:t xml:space="preserve">Координация между соответствующими министерствами и ведомствами позволит гарантировать, что сумма и структура новых внешних и внутренних заимствований для финансирования государственных инвестиционных проектов, для поддержки бюджета и платежного баланса, как это предусмотрено Стратегией развития страны на 2009-2011 годы, утвержденной Указом Президента Кыргызской Республики от 31 марта 2009 года N 183, согласуются с целевыми критериями Стратегии управления государственным долгом.</w:t>
      </w:r>
    </w:p>
    <w:p>
      <w:pPr>
        <w:spacing w:after="120"/>
        <w:jc w:val="both"/>
      </w:pPr>
      <w:r>
        <w:rPr>
          <w:rFonts w:ascii="Arial" w:cs="Arial" w:eastAsia="Arial" w:hAnsi="Arial"/>
          <w:sz w:val="24"/>
          <w:szCs w:val="24"/>
        </w:rPr>
        <w:t xml:space="preserve">Новое положение о правительственных гарантиях обеспечит строгий контроль за условными обязательствами, возникающими в результате частных заимствований, гарантированных государством, и связанных с ними обязательств. Мораторий на предоставление правительственных гарантий по внешним заимствованиям, заложенный в Стратегию развития страны на 2009-2011 годы, утвержденной Указом Президента Кыргызской Республики от 31 марта 2009 года N 183, будет действовать до принятия нового положения.</w:t>
      </w:r>
    </w:p>
    <w:p>
      <w:pPr>
        <w:spacing w:after="120"/>
        <w:jc w:val="both"/>
      </w:pPr>
      <w:r>
        <w:rPr>
          <w:rFonts w:ascii="Arial" w:cs="Arial" w:eastAsia="Arial" w:hAnsi="Arial"/>
          <w:sz w:val="24"/>
          <w:szCs w:val="24"/>
        </w:rPr>
        <w:t xml:space="preserve">Новое положение установит процедуру одобрения новых гарантий, которые будут предоставляться в соответствии с пороговыми уровнями, установленными Среднесрочным прогнозом бюджета и ежегодными бюджетами. Это предусматривает создание гарантийного фонда, в который получатели государственных гарантий должны вносить возмещаемые гарантийные взносы и не возмещаемые ежегодные платежи за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Развитие внутреннего рынка государственных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Роль внутреннего финансирования посредством развития рынка государственных ценных бумаг в управлении государственным долгом будет возрастать. Увеличение объемов эмиссии, прозрачная и эффективная эмиссионная политика, совершенствование механизмов расчетов и деятельности первичных дилеров, и регулярный диалог с сообществом инвесторов обеспечат уменьшение зависимости от внешнего финансирования, увеличат норму сбережения и будут способствовать устойчивому экономическому росту в долгосрочном периоде.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внутреннего нерыночного и рыночного долга в 2003-2008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г</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которые необходимо предпринять для развития небанковских финансовых учреждений: внедрение схемы обязательного страхования, а также обязательной и добровольной накопительной пенсионной системы, расширят круг инвесторов.</w:t>
      </w:r>
    </w:p>
    <w:p>
      <w:pPr>
        <w:spacing w:after="120"/>
        <w:jc w:val="both"/>
      </w:pPr>
      <w:r>
        <w:rPr>
          <w:rFonts w:ascii="Arial" w:cs="Arial" w:eastAsia="Arial" w:hAnsi="Arial"/>
          <w:sz w:val="24"/>
          <w:szCs w:val="24"/>
        </w:rPr>
        <w:t xml:space="preserve">Правительство Кыргызской Республики и Национальный банк Кыргызской Республики (далее - НБКР) предпримут меры по созданию активного, ликвидного и углубляющегося вторичного рынка для расширения круга инвесторов и удлинения сроков государственных ценных бумаг.</w:t>
      </w:r>
    </w:p>
    <w:p>
      <w:pPr>
        <w:spacing w:after="120"/>
        <w:jc w:val="both"/>
      </w:pPr>
      <w:r>
        <w:rPr>
          <w:rFonts w:ascii="Arial" w:cs="Arial" w:eastAsia="Arial" w:hAnsi="Arial"/>
          <w:sz w:val="24"/>
          <w:szCs w:val="24"/>
        </w:rPr>
        <w:t xml:space="preserve">Развитие рынка государственных ценных бумаг будет служить не только для целей финансирования, но также окажет важное влияние на развитие финансового сектора, приведет к более эффективному распределению доступных ресурсов для развития бизнеса.</w:t>
      </w:r>
    </w:p>
    <w:p>
      <w:pPr>
        <w:spacing w:after="120"/>
        <w:jc w:val="both"/>
      </w:pPr>
      <w:r>
        <w:rPr>
          <w:rFonts w:ascii="Arial" w:cs="Arial" w:eastAsia="Arial" w:hAnsi="Arial"/>
          <w:sz w:val="24"/>
          <w:szCs w:val="24"/>
        </w:rPr>
        <w:t xml:space="preserve">Для достижения этих целей управление государственным внутренним долгом будет опираться на принципы прозрачности, простоты и ликвидности, что предусматривает следующие меры:</w:t>
      </w:r>
    </w:p>
    <w:p>
      <w:pPr>
        <w:spacing w:after="120"/>
        <w:jc w:val="both"/>
      </w:pPr>
      <w:r>
        <w:rPr>
          <w:rFonts w:ascii="Arial" w:cs="Arial" w:eastAsia="Arial" w:hAnsi="Arial"/>
          <w:sz w:val="24"/>
          <w:szCs w:val="24"/>
        </w:rPr>
        <w:t xml:space="preserve">- регулярное объявление квартальных и полугодовых объемов финансирования;</w:t>
      </w:r>
    </w:p>
    <w:p>
      <w:pPr>
        <w:spacing w:after="120"/>
        <w:jc w:val="both"/>
      </w:pPr>
      <w:r>
        <w:rPr>
          <w:rFonts w:ascii="Arial" w:cs="Arial" w:eastAsia="Arial" w:hAnsi="Arial"/>
          <w:sz w:val="24"/>
          <w:szCs w:val="24"/>
        </w:rPr>
        <w:t xml:space="preserve">- публикацию календаря эмиссии и изменение структуры эмиссии, для достижения существенного сокращения числа различных видов государственных ценных бумаг в обращении;</w:t>
      </w:r>
    </w:p>
    <w:p>
      <w:pPr>
        <w:spacing w:after="120"/>
        <w:jc w:val="both"/>
      </w:pPr>
      <w:r>
        <w:rPr>
          <w:rFonts w:ascii="Arial" w:cs="Arial" w:eastAsia="Arial" w:hAnsi="Arial"/>
          <w:sz w:val="24"/>
          <w:szCs w:val="24"/>
        </w:rPr>
        <w:t xml:space="preserve">- поэтапное увеличение срока обращения государственных облигаций;</w:t>
      </w:r>
    </w:p>
    <w:p>
      <w:pPr>
        <w:spacing w:after="120"/>
        <w:jc w:val="both"/>
      </w:pPr>
      <w:r>
        <w:rPr>
          <w:rFonts w:ascii="Arial" w:cs="Arial" w:eastAsia="Arial" w:hAnsi="Arial"/>
          <w:sz w:val="24"/>
          <w:szCs w:val="24"/>
        </w:rPr>
        <w:t xml:space="preserve">- прекращение выпуска ГКВ со сроком обращения выше одного года и выпуск облигаций с фиксированным купоном со сроком обращения 2 года, которые позднее, когда рынок позволит это сделать, будут продлены до пяти лет;</w:t>
      </w:r>
    </w:p>
    <w:p>
      <w:pPr>
        <w:spacing w:after="120"/>
        <w:jc w:val="both"/>
      </w:pPr>
      <w:r>
        <w:rPr>
          <w:rFonts w:ascii="Arial" w:cs="Arial" w:eastAsia="Arial" w:hAnsi="Arial"/>
          <w:sz w:val="24"/>
          <w:szCs w:val="24"/>
        </w:rPr>
        <w:t xml:space="preserve">- внесение изменений в систему первичных дилеров, которые усилят их роль как участника рынка;</w:t>
      </w:r>
    </w:p>
    <w:p>
      <w:pPr>
        <w:spacing w:after="120"/>
        <w:jc w:val="both"/>
      </w:pPr>
      <w:r>
        <w:rPr>
          <w:rFonts w:ascii="Arial" w:cs="Arial" w:eastAsia="Arial" w:hAnsi="Arial"/>
          <w:sz w:val="24"/>
          <w:szCs w:val="24"/>
        </w:rPr>
        <w:t xml:space="preserve">- обеспечение регулярных консультаций участников рынка с Эмитентом и Агентом по вопросам первичного размещения;</w:t>
      </w:r>
    </w:p>
    <w:p>
      <w:pPr>
        <w:spacing w:after="120"/>
        <w:jc w:val="both"/>
      </w:pPr>
      <w:r>
        <w:rPr>
          <w:rFonts w:ascii="Arial" w:cs="Arial" w:eastAsia="Arial" w:hAnsi="Arial"/>
          <w:sz w:val="24"/>
          <w:szCs w:val="24"/>
        </w:rPr>
        <w:t xml:space="preserve">- создание регистратора, депозитария и системы расчетов, согласующихся с международными стандартами;</w:t>
      </w:r>
    </w:p>
    <w:p>
      <w:pPr>
        <w:spacing w:after="120"/>
        <w:jc w:val="both"/>
      </w:pPr>
      <w:r>
        <w:rPr>
          <w:rFonts w:ascii="Arial" w:cs="Arial" w:eastAsia="Arial" w:hAnsi="Arial"/>
          <w:sz w:val="24"/>
          <w:szCs w:val="24"/>
        </w:rPr>
        <w:t xml:space="preserve">- развитие розничной сети для продажи государственных ценных бумаг;</w:t>
      </w:r>
    </w:p>
    <w:p>
      <w:pPr>
        <w:spacing w:after="120"/>
        <w:jc w:val="both"/>
      </w:pPr>
      <w:r>
        <w:rPr>
          <w:rFonts w:ascii="Arial" w:cs="Arial" w:eastAsia="Arial" w:hAnsi="Arial"/>
          <w:sz w:val="24"/>
          <w:szCs w:val="24"/>
        </w:rPr>
        <w:t xml:space="preserve">- изучение возможности выпуска государственных ценных бумаг, привязанных к инфляции, предназначенных, главным образом, для мелких частных инвесторов;</w:t>
      </w:r>
    </w:p>
    <w:p>
      <w:pPr>
        <w:spacing w:after="120"/>
        <w:jc w:val="both"/>
      </w:pPr>
      <w:r>
        <w:rPr>
          <w:rFonts w:ascii="Arial" w:cs="Arial" w:eastAsia="Arial" w:hAnsi="Arial"/>
          <w:sz w:val="24"/>
          <w:szCs w:val="24"/>
        </w:rPr>
        <w:t xml:space="preserve">- управление государственным долгом, воздерживающееся от частных размещений и принудительных мер при продаже государственных ценных бумаг.</w:t>
      </w:r>
    </w:p>
    <w:p>
      <w:pPr>
        <w:spacing w:after="120"/>
        <w:jc w:val="both"/>
      </w:pPr>
      <w:r>
        <w:rPr>
          <w:rFonts w:ascii="Arial" w:cs="Arial" w:eastAsia="Arial" w:hAnsi="Arial"/>
          <w:sz w:val="24"/>
          <w:szCs w:val="24"/>
        </w:rPr>
        <w:t xml:space="preserve">В краткосрочном периоде эффективное управление государственным долгом должно обеспечивать достаточную ликвидность счетов государственного бюджета и тесную координацию с денежно-кредитной политикой НБКР, направленной на разворачивание инфляционных процессов в противоположном направлении, и сдерживание будущего инфляционного давления.</w:t>
      </w:r>
    </w:p>
    <w:p>
      <w:pPr>
        <w:spacing w:after="120"/>
        <w:jc w:val="both"/>
      </w:pPr>
      <w:r>
        <w:rPr>
          <w:rFonts w:ascii="Arial" w:cs="Arial" w:eastAsia="Arial" w:hAnsi="Arial"/>
          <w:sz w:val="24"/>
          <w:szCs w:val="24"/>
        </w:rPr>
        <w:t xml:space="preserve">Новое положение о муниципальных ценных бумагах будет способствовать развитию рынка ценных бумаг, расширению диапазона государственного долга за пределы непосредственных потребностей государственного финансирования, включению в него потребности финансирования на местном уровне для локальных проектов развития.</w:t>
      </w:r>
    </w:p>
    <w:p>
      <w:pPr>
        <w:spacing w:after="120"/>
        <w:jc w:val="both"/>
      </w:pPr>
      <w:r>
        <w:rPr>
          <w:rFonts w:ascii="Arial" w:cs="Arial" w:eastAsia="Arial" w:hAnsi="Arial"/>
          <w:sz w:val="24"/>
          <w:szCs w:val="24"/>
        </w:rPr>
        <w:t xml:space="preserve">Правительство Кыргызской Республики гарантирует своевременную публикацию достоверных статистических данных и индикаторов государственного долга. Регулярное опубликование годового финансового плана и отчетов по государственному долгу будет способствовать существенному повышению прозрачности в управлении государственным долгом.</w:t>
      </w:r>
    </w:p>
    <w:p>
      <w:pPr>
        <w:spacing w:after="120"/>
        <w:jc w:val="both"/>
      </w:pPr>
      <w:r>
        <w:rPr>
          <w:rFonts w:ascii="Arial" w:cs="Arial" w:eastAsia="Arial" w:hAnsi="Arial"/>
          <w:sz w:val="24"/>
          <w:szCs w:val="24"/>
        </w:rPr>
        <w:t xml:space="preserve">Министерство финансов Кыргызской Республики в полном объеме отвечает за управление долгом Правительства Кыргызской Республики, а также за регулирование и осуществление мониторинга всех вопросов, касающихся государственного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5i-o8pky33l0ttvpumte">
      <w:r>
        <w:rPr>
          <w:rFonts w:ascii="Arial" w:cs="Arial" w:eastAsia="Arial" w:hAnsi="Arial"/>
          <w:color w:val="132D3F"/>
          <w:sz w:val="16"/>
          <w:szCs w:val="16"/>
          <w:u w:val="single"/>
        </w:rPr>
        <w:t xml:space="preserve">dalil.kg/document/90071</w:t>
      </w:r>
    </w:hyperlink>
  </w:p>
  <w:p>
    <w:pPr>
      <w:spacing w:after="0" w:before="40"/>
      <w:jc w:val="center"/>
    </w:pPr>
    <w:hyperlink w:history="1" r:id="rIdfsvln9bkntjnq10ed9e8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5i-o8pky33l0ttvpumte" Type="http://schemas.openxmlformats.org/officeDocument/2006/relationships/hyperlink" Target="https://dalil.kg/document/90071" TargetMode="External"/><Relationship Id="rIdfsvln9bkntjnq10ed9e8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2026-09-24T19:22:28.397Z</dcterms:created>
  <dcterms:modified xsi:type="dcterms:W3CDTF">2026-09-24T19:22:28.397Z</dcterms:modified>
</cp:coreProperties>
</file>

<file path=docProps/custom.xml><?xml version="1.0" encoding="utf-8"?>
<Properties xmlns="http://schemas.openxmlformats.org/officeDocument/2006/custom-properties" xmlns:vt="http://schemas.openxmlformats.org/officeDocument/2006/docPropsVTypes"/>
</file>