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2009 года № 436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государственного учета земель Кыргызской Республики по состоянию на 1 января 2009 года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На 1 января 2009 года территория Кыргызской Республики составляет 19995,1 тыс.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отчетный период произошли количественные изменения в использовании земельного фонда по категориям, видам угодий, и по формам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января 2009 года, из земельного фонда республики, в частной собственности находятся1247,7 тыс. га земель, в муниципальной собственности - 57,8 тыс. га, в государственной собственности - 18689,4 тыс.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жилищных проблем граждан республики в 2008 году под индивидуальное жилищное строительство решениями Правительства Кыргызской Республики предоставлено 3615,4 га земель, в том числе 3022,7 га орошаемой пашни, 126,0 га богарной пашни, 106,5 га земель, занятых многолетними насаждениями, и 360,2 га пастбищ.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2008 году из категории «Земли сельскохозяйственного назначения» переведено в категории: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«Земли промышленности, транспорта, связи, обороны и иного назначения» 1239,37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«Земли особо охраняемых природных территорий» 113,45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учета особо ценных сельскохозяйственных угодий в соответствие с их фактическим использованием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января 2008 года № 28 «О переводе богарной пашни Ильичевского аильного кенеша Кеминского района Чуйской области Кыргызской Республики в пастбища» 3,2 га богарной пашни переведены в пастбища.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использования земель сельскохозяйственного назначения, особенно сельскохозяйственных угодий, в настоящее время остается острым. Из-за недостаточности капиталовложений на ремонт оросительных систем и коллекторно-дренажных сетей не сокращаются площади неблагополучных в мелиоративном отношении земель. В 2008 году в Кыргызской Республике по различным причинам (засоление, заболачивание, нехватка воды, отсутствие средств на приобретение семян, горюче-смазочных материалов, из-за отдаленности, экономической нецелесообразности) остались неиспользованными 108,2 тыс. га пашни, или 8,4 процента от всей пашни, имеющейся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106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-duz7h2vmxfp47gagur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итоги</w:t>
      </w:r>
      <w:r>
        <w:rPr>
          <w:rFonts w:ascii="Arial" w:cs="Arial" w:eastAsia="Arial" w:hAnsi="Arial"/>
          <w:sz w:val="24"/>
          <w:szCs w:val="24"/>
        </w:rPr>
        <w:t xml:space="preserve"> государственного учета земель в Кыргызской Республике по категориям и землепользователям по состоянию на 1 января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распределение</w:t>
      </w:r>
      <w:r>
        <w:rPr>
          <w:rFonts w:ascii="Arial" w:cs="Arial" w:eastAsia="Arial" w:hAnsi="Arial"/>
          <w:sz w:val="24"/>
          <w:szCs w:val="24"/>
        </w:rPr>
        <w:t xml:space="preserve"> земельного фонда Кыргызской Республики по видам угодий по состоянию на 1 января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регистрации прав на недвижимое имущество при Правительстве Кыргызской Республики, государственным администрациям областей и районов, органам местного самоуправления усилить контроль за целевым и эффективным использованием всех видов земельных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охране окружающей среды и лесному хозяйству при Правительстве Кыргызской Республики и Государственному агентству по регистрации прав на недвижимое имущество при Правительстве Кыргызской Республики, в срок до 1 ноября 2009 года провести комплекс работ по уточнению и согласованию площадей земель особо охраняемых природных территорий и земель лесного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Итоги
 государственного учета земель в Кыргызской Республике по категориям и землепользователям по состоянию на 1 января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 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том числе орошаемые (тыс. га)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132,1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794,6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1019,8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
 земельного фонда Кыргызской Республики по видам сельскохозяйственных угодий по состоянию на 1 января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том числе орошаемые (тыс. га)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795,8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871,2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123,3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998,3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863,3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slt8rmw33wuv1_yr1a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dalil.kg/document/90106</w:t>
      </w:r>
    </w:hyperlink>
  </w:p>
  <w:p>
    <w:pPr>
      <w:spacing w:after="0" w:before="40"/>
      <w:jc w:val="center"/>
    </w:pPr>
    <w:hyperlink w:history="1" r:id="rIdv2wvgdsfckjvuj5tjd-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uz7h2vmxfp47gagurg0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slt8rmw33wuv1_yr1at6" Type="http://schemas.openxmlformats.org/officeDocument/2006/relationships/hyperlink" Target="https://dalil.kg/document/90106" TargetMode="External"/><Relationship Id="rIdv2wvgdsfckjvuj5tjd-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2026-10-04T17:58:24.942Z</dcterms:created>
  <dcterms:modified xsi:type="dcterms:W3CDTF">2026-10-04T17:58:24.942Z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