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t5dnlgysftcud47k0wmc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2009 года № 675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w-qj_j4va-vg5akpjaw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в Налоговый </w:t>
      </w:r>
      <w:hyperlink w:history="1" r:id="rIdvzddjq7faqbemkm9kiuk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(Газета "Эркин Тоо" от 22 октября 2008 года № 78-81) следующие изменения:</w:t>
      </w:r>
    </w:p>
    <w:p>
      <w:pPr>
        <w:spacing w:after="120"/>
        <w:jc w:val="both"/>
      </w:pPr>
      <w:r>
        <w:rPr>
          <w:rFonts w:ascii="Arial" w:cs="Arial" w:eastAsia="Arial" w:hAnsi="Arial"/>
          <w:sz w:val="24"/>
          <w:szCs w:val="24"/>
        </w:rPr>
        <w:t xml:space="preserve">1. Абзац первый части 1 статьи 125 изложить в следующей редакции:</w:t>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осуществляющими государственную регистрацию прав на недвижимое имущество и регистрацию транспортных средств путем получения информации в письменном или электронном виде:".</w:t>
      </w:r>
    </w:p>
    <w:p>
      <w:pPr>
        <w:spacing w:after="120"/>
        <w:jc w:val="both"/>
      </w:pPr>
      <w:r>
        <w:rPr>
          <w:rFonts w:ascii="Arial" w:cs="Arial" w:eastAsia="Arial" w:hAnsi="Arial"/>
          <w:sz w:val="24"/>
          <w:szCs w:val="24"/>
        </w:rPr>
        <w:t xml:space="preserve">2. Статьи 323-328 изложить в следующей редакции:</w:t>
      </w:r>
    </w:p>
    <w:p>
      <w:pPr>
        <w:spacing w:after="120"/>
        <w:jc w:val="both"/>
      </w:pPr>
      <w:r>
        <w:rPr>
          <w:rFonts w:ascii="Arial" w:cs="Arial" w:eastAsia="Arial" w:hAnsi="Arial"/>
          <w:sz w:val="24"/>
          <w:szCs w:val="24"/>
        </w:rPr>
        <w:t xml:space="preserve">"Статья 323. Налогоплательщик налога на имущество</w:t>
      </w:r>
    </w:p>
    <w:p>
      <w:pPr>
        <w:spacing w:after="120"/>
        <w:jc w:val="both"/>
      </w:pPr>
      <w:r>
        <w:rPr>
          <w:rFonts w:ascii="Arial" w:cs="Arial" w:eastAsia="Arial" w:hAnsi="Arial"/>
          <w:sz w:val="24"/>
          <w:szCs w:val="24"/>
        </w:rPr>
        <w:t xml:space="preserve">1. Если иное не предусмотрено настоящей статьей, налогоплательщиком налога на имущество, указанное в статье 324 настоящего Кодекса, являются организация или физическое лицо, имеющее:</w:t>
      </w:r>
    </w:p>
    <w:p>
      <w:pPr>
        <w:spacing w:after="120"/>
        <w:jc w:val="both"/>
      </w:pPr>
      <w:r>
        <w:rPr>
          <w:rFonts w:ascii="Arial" w:cs="Arial" w:eastAsia="Arial" w:hAnsi="Arial"/>
          <w:sz w:val="24"/>
          <w:szCs w:val="24"/>
        </w:rPr>
        <w:t xml:space="preserve">1) в собственности имущество, зарегистрированное на территории Кыргызской Республики;</w:t>
      </w:r>
    </w:p>
    <w:p>
      <w:pPr>
        <w:spacing w:after="120"/>
        <w:jc w:val="both"/>
      </w:pPr>
      <w:r>
        <w:rPr>
          <w:rFonts w:ascii="Arial" w:cs="Arial" w:eastAsia="Arial" w:hAnsi="Arial"/>
          <w:sz w:val="24"/>
          <w:szCs w:val="24"/>
        </w:rPr>
        <w:t xml:space="preserve">2) имущество, приобретаемое в рамках договора финансовой аренды или ипотечного кредитования, зарегистрированное на территории Кыргызской Республики, с первого числа месяца, следующего за месяцем, в котором наступило право обладания данным имуществом.</w:t>
      </w:r>
    </w:p>
    <w:p>
      <w:pPr>
        <w:spacing w:after="120"/>
        <w:jc w:val="both"/>
      </w:pPr>
      <w:r>
        <w:rPr>
          <w:rFonts w:ascii="Arial" w:cs="Arial" w:eastAsia="Arial" w:hAnsi="Arial"/>
          <w:sz w:val="24"/>
          <w:szCs w:val="24"/>
        </w:rPr>
        <w:t xml:space="preserve">2. Если невозможно установить место нахождения собственника имущества, налогоплательщиком налога на имущество являются организация или физическое лицо, пользующееся этим имуществом.</w:t>
      </w:r>
    </w:p>
    <w:p>
      <w:pPr>
        <w:spacing w:after="120"/>
        <w:jc w:val="both"/>
      </w:pPr>
      <w:r>
        <w:rPr>
          <w:rFonts w:ascii="Arial" w:cs="Arial" w:eastAsia="Arial" w:hAnsi="Arial"/>
          <w:sz w:val="24"/>
          <w:szCs w:val="24"/>
        </w:rPr>
        <w:t xml:space="preserve">3. В случае отсутствия регистрации прав на имущество, основанием для признания пользователя налогоплательщиком налога на имущество является фактическое пользование имуществом.</w:t>
      </w:r>
    </w:p>
    <w:p>
      <w:pPr>
        <w:spacing w:after="120"/>
        <w:jc w:val="both"/>
      </w:pPr>
      <w:r>
        <w:rPr>
          <w:rFonts w:ascii="Arial" w:cs="Arial" w:eastAsia="Arial" w:hAnsi="Arial"/>
          <w:sz w:val="24"/>
          <w:szCs w:val="24"/>
        </w:rPr>
        <w:t xml:space="preserve">4. Государственные органы, органы местного самоуправления, государственные учреждения, муниципальные учреждения, финансируемые из бюджета и/или имеющие специальные средства, Национальный банк Кыргызской Республики, государственный орган по защите депозитов, Фонд защиты депозитов, Социальный фонд Кыргызской Республики, осуществляющие оперативное управление закрепленным за ними имуществом или имеющие в собственности имущество, не являются налогоплательщиками налога на имущество, за исключением случаев, когда имущество или его часть переданы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случаев использования имущества для отдыха, досуга и развлечений.</w:t>
      </w:r>
    </w:p>
    <w:p>
      <w:pPr>
        <w:spacing w:after="120"/>
        <w:jc w:val="both"/>
      </w:pPr>
      <w:r>
        <w:rPr>
          <w:rFonts w:ascii="Arial" w:cs="Arial" w:eastAsia="Arial" w:hAnsi="Arial"/>
          <w:sz w:val="24"/>
          <w:szCs w:val="24"/>
        </w:rPr>
        <w:t xml:space="preserve">С имущества, переданного субъектами, указанными в настоящей части, налог на имущество взимается лицом, передавшим имущество в возмездное или безвозмездное пользование, с лица, получившим такое имущество.</w:t>
      </w:r>
    </w:p>
    <w:p>
      <w:pPr>
        <w:spacing w:after="120"/>
        <w:jc w:val="both"/>
      </w:pPr>
      <w:r>
        <w:rPr>
          <w:rFonts w:ascii="Arial" w:cs="Arial" w:eastAsia="Arial" w:hAnsi="Arial"/>
          <w:sz w:val="24"/>
          <w:szCs w:val="24"/>
        </w:rPr>
        <w:t xml:space="preserve">5. Если иное не предусмотрено в соглашении, между лицами по объекту имущества 1 группы, указанному в статье 324 настоящего Кодекса и находящемуся в их совместной собственности, налогоплательщиком является каждый собственник пропорционально своей доли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налогообложения налогом на имущество является имущество, находящееся:</w:t>
      </w:r>
    </w:p>
    <w:p>
      <w:pPr>
        <w:spacing w:after="120"/>
        <w:jc w:val="both"/>
      </w:pPr>
      <w:r>
        <w:rPr>
          <w:rFonts w:ascii="Arial" w:cs="Arial" w:eastAsia="Arial" w:hAnsi="Arial"/>
          <w:sz w:val="24"/>
          <w:szCs w:val="24"/>
        </w:rPr>
        <w:t xml:space="preserve">1) в государственной собственности, закрепленное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w:t>
      </w:r>
    </w:p>
    <w:p>
      <w:pPr>
        <w:spacing w:after="120"/>
        <w:jc w:val="both"/>
      </w:pPr>
      <w:r>
        <w:rPr>
          <w:rFonts w:ascii="Arial" w:cs="Arial" w:eastAsia="Arial" w:hAnsi="Arial"/>
          <w:sz w:val="24"/>
          <w:szCs w:val="24"/>
        </w:rPr>
        <w:t xml:space="preserve">2) в муниципальной собственности, закрепленное за муниципальным предприятием на праве хозяйственного ведения, а за учреждениями - на праве оперативного управления;</w:t>
      </w:r>
    </w:p>
    <w:p>
      <w:pPr>
        <w:spacing w:after="120"/>
        <w:jc w:val="both"/>
      </w:pPr>
      <w:r>
        <w:rPr>
          <w:rFonts w:ascii="Arial" w:cs="Arial" w:eastAsia="Arial" w:hAnsi="Arial"/>
          <w:sz w:val="24"/>
          <w:szCs w:val="24"/>
        </w:rPr>
        <w:t xml:space="preserve">3) в частной собственности.</w:t>
      </w:r>
    </w:p>
    <w:p>
      <w:pPr>
        <w:spacing w:after="120"/>
        <w:jc w:val="both"/>
      </w:pPr>
      <w:r>
        <w:rPr>
          <w:rFonts w:ascii="Arial" w:cs="Arial" w:eastAsia="Arial" w:hAnsi="Arial"/>
          <w:sz w:val="24"/>
          <w:szCs w:val="24"/>
        </w:rPr>
        <w:t xml:space="preserve">2. К налогооблагаемому имуществу относятся следующие объекты:</w:t>
      </w:r>
    </w:p>
    <w:p>
      <w:pPr>
        <w:spacing w:after="120"/>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120"/>
        <w:jc w:val="both"/>
      </w:pPr>
      <w:r>
        <w:rPr>
          <w:rFonts w:ascii="Arial" w:cs="Arial" w:eastAsia="Arial" w:hAnsi="Arial"/>
          <w:sz w:val="24"/>
          <w:szCs w:val="24"/>
        </w:rPr>
        <w:t xml:space="preserve">3. Перечень объектов имущества, не являющегося объектом налогообложения,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налога на имущество являются:</w:t>
      </w:r>
    </w:p>
    <w:p>
      <w:pPr>
        <w:spacing w:after="120"/>
        <w:jc w:val="both"/>
      </w:pPr>
      <w:r>
        <w:rPr>
          <w:rFonts w:ascii="Arial" w:cs="Arial" w:eastAsia="Arial" w:hAnsi="Arial"/>
          <w:sz w:val="24"/>
          <w:szCs w:val="24"/>
        </w:rPr>
        <w:t xml:space="preserve">1) для объектов имущества 1, 2 и 3 групп, указанных в части 2 статьи 324 настоящего Кодекса, - налогооблагаемая стоимость объектов имущества, определяемая в порядке, установленном настоящим разделом;</w:t>
      </w:r>
    </w:p>
    <w:p>
      <w:pPr>
        <w:spacing w:after="120"/>
        <w:jc w:val="both"/>
      </w:pPr>
      <w:r>
        <w:rPr>
          <w:rFonts w:ascii="Arial" w:cs="Arial" w:eastAsia="Arial" w:hAnsi="Arial"/>
          <w:sz w:val="24"/>
          <w:szCs w:val="24"/>
        </w:rPr>
        <w:t xml:space="preserve">2) для объектов имущества 4 группы, указанной в части 2 статьи 324 настоящего Кодекса:</w:t>
      </w:r>
    </w:p>
    <w:p>
      <w:pPr>
        <w:spacing w:after="120"/>
        <w:jc w:val="both"/>
      </w:pPr>
      <w:r>
        <w:rPr>
          <w:rFonts w:ascii="Arial" w:cs="Arial" w:eastAsia="Arial" w:hAnsi="Arial"/>
          <w:sz w:val="24"/>
          <w:szCs w:val="24"/>
        </w:rPr>
        <w:t xml:space="preserve">а) работающих на двигателе внутреннего сгорания, - рабочий объем двигателя или балансовая стоимость;</w:t>
      </w:r>
    </w:p>
    <w:p>
      <w:pPr>
        <w:spacing w:after="120"/>
        <w:jc w:val="both"/>
      </w:pPr>
      <w:r>
        <w:rPr>
          <w:rFonts w:ascii="Arial" w:cs="Arial" w:eastAsia="Arial" w:hAnsi="Arial"/>
          <w:sz w:val="24"/>
          <w:szCs w:val="24"/>
        </w:rPr>
        <w:t xml:space="preserve">б) не имеющих двигателя внутреннего сгорания - балансовая стоимость. Для целей настоящего раздела под балансовой стоимостью понимается стоимость объекта имущества на начало налогового периода по налогу на имущество, исчисленная с учетом амортизации,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в) не имеющих двигателя внутреннего сгорания и учетной стоимости стоимость, определяемая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Порядок определения налогооблагаемой стоимости объекта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налогооблагаемой стоимости объекта имущества 1, 2 и 3 групп, указанных в части 2 статьи 324 настоящего Кодекса (далее в настоящей статье - 1, 2 и 3 группы), осуществляется по следующей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НС = С х П х Кр х Кз х Ко, где: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НС - налогооблагаемая стоимость объекта имущества, сом;</w:t>
      </w:r>
    </w:p>
    <w:p>
      <w:pPr>
        <w:spacing w:after="120"/>
        <w:jc w:val="left"/>
      </w:pPr>
      <w:r>
        <w:rPr>
          <w:rFonts w:ascii="Arial" w:cs="Arial" w:eastAsia="Arial" w:hAnsi="Arial"/>
          <w:sz w:val="24"/>
          <w:szCs w:val="24"/>
        </w:rPr>
        <w:t xml:space="preserve">С - налогооблагаемая стоимость одного квадратного метра площади объекта имущества, сом/кв.м;</w:t>
      </w:r>
    </w:p>
    <w:p>
      <w:pPr>
        <w:spacing w:after="120"/>
        <w:jc w:val="left"/>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пунктом 2 части 1 статьи 330 настоящего Кодекса, или общая площадь объекта имущества 2 или 3 группы, кв.м;</w:t>
      </w:r>
    </w:p>
    <w:p>
      <w:pPr>
        <w:spacing w:after="120"/>
        <w:jc w:val="left"/>
      </w:pPr>
      <w:r>
        <w:rPr>
          <w:rFonts w:ascii="Arial" w:cs="Arial" w:eastAsia="Arial" w:hAnsi="Arial"/>
          <w:sz w:val="24"/>
          <w:szCs w:val="24"/>
        </w:rPr>
        <w:t xml:space="preserve">Кр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w:t>
      </w:r>
    </w:p>
    <w:p>
      <w:pPr>
        <w:spacing w:after="120"/>
        <w:jc w:val="left"/>
      </w:pPr>
      <w:r>
        <w:rPr>
          <w:rFonts w:ascii="Arial" w:cs="Arial" w:eastAsia="Arial" w:hAnsi="Arial"/>
          <w:sz w:val="24"/>
          <w:szCs w:val="24"/>
        </w:rPr>
        <w:t xml:space="preserve">Кз - зональный коэффициент, учитывающий изменение налогооблагаемой стоимости объекта в зависимости от его местонахождения в на-</w:t>
      </w:r>
    </w:p>
    <w:p>
      <w:pPr>
        <w:spacing w:after="120"/>
        <w:jc w:val="left"/>
      </w:pPr>
      <w:r>
        <w:rPr>
          <w:rFonts w:ascii="Arial" w:cs="Arial" w:eastAsia="Arial" w:hAnsi="Arial"/>
          <w:sz w:val="24"/>
          <w:szCs w:val="24"/>
        </w:rPr>
        <w:t xml:space="preserve">селенном пункте;</w:t>
      </w:r>
    </w:p>
    <w:p>
      <w:pPr>
        <w:spacing w:after="120"/>
        <w:jc w:val="left"/>
      </w:pPr>
      <w:r>
        <w:rPr>
          <w:rFonts w:ascii="Arial" w:cs="Arial" w:eastAsia="Arial" w:hAnsi="Arial"/>
          <w:sz w:val="24"/>
          <w:szCs w:val="24"/>
        </w:rPr>
        <w:t xml:space="preserve">Ко - отраслевой коэффициент, применяемый для объектов имущества 2 и 3 группы. Для объектов имущества других групп Ко принимается равным 1.</w:t>
      </w:r>
    </w:p>
    <w:p>
      <w:pPr>
        <w:spacing w:after="120"/>
        <w:jc w:val="left"/>
      </w:pPr>
      <w:r>
        <w:rPr>
          <w:rFonts w:ascii="Arial" w:cs="Arial" w:eastAsia="Arial" w:hAnsi="Arial"/>
          <w:sz w:val="24"/>
          <w:szCs w:val="24"/>
        </w:rPr>
        <w:t xml:space="preserve">2. Налогооблагаемая стоимость одного квадратного метра площади объекта имущества 1, 2 и 3 групп устанавливается в зависимости от материала стен и года ввода объекта имущества в эксплуатацию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Материал стен</w:t>
      </w:r>
      <w:r>
        <w:rPr>
          <w:rFonts w:ascii="Arial" w:cs="Arial" w:eastAsia="Arial" w:hAnsi="Arial"/>
          <w:sz w:val="24"/>
          <w:szCs w:val="24"/>
        </w:rPr>
        <w:t xml:space="preserve">	</w:t>
      </w:r>
      <w:r>
        <w:rPr>
          <w:rFonts w:ascii="Arial" w:cs="Arial" w:eastAsia="Arial" w:hAnsi="Arial"/>
          <w:sz w:val="24"/>
          <w:szCs w:val="24"/>
        </w:rPr>
        <w:t xml:space="preserve">Оценочная стоимость 1 кв.м, сом</w:t>
      </w:r>
    </w:p>
    <w:p>
      <w:pPr>
        <w:tabs>
          <w:tab w:val="right" w:pos="10178"/>
        </w:tabs>
        <w:spacing w:after="120"/>
      </w:pPr>
      <w:r>
        <w:rPr>
          <w:rFonts w:ascii="Arial" w:cs="Arial" w:eastAsia="Arial" w:hAnsi="Arial"/>
          <w:sz w:val="24"/>
          <w:szCs w:val="24"/>
        </w:rPr>
        <w:t xml:space="preserve">Кирпич</w:t>
      </w:r>
      <w:r>
        <w:rPr>
          <w:rFonts w:ascii="Arial" w:cs="Arial" w:eastAsia="Arial" w:hAnsi="Arial"/>
          <w:sz w:val="24"/>
          <w:szCs w:val="24"/>
        </w:rPr>
        <w:t xml:space="preserve">	</w:t>
      </w:r>
      <w:r>
        <w:rPr>
          <w:rFonts w:ascii="Arial" w:cs="Arial" w:eastAsia="Arial" w:hAnsi="Arial"/>
          <w:sz w:val="24"/>
          <w:szCs w:val="24"/>
        </w:rPr>
        <w:t xml:space="preserve">15000</w:t>
      </w:r>
    </w:p>
    <w:p>
      <w:pPr>
        <w:tabs>
          <w:tab w:val="right" w:pos="10178"/>
        </w:tabs>
        <w:spacing w:after="120"/>
      </w:pPr>
      <w:r>
        <w:rPr>
          <w:rFonts w:ascii="Arial" w:cs="Arial" w:eastAsia="Arial" w:hAnsi="Arial"/>
          <w:sz w:val="24"/>
          <w:szCs w:val="24"/>
        </w:rPr>
        <w:t xml:space="preserve">Дерево</w:t>
      </w:r>
      <w:r>
        <w:rPr>
          <w:rFonts w:ascii="Arial" w:cs="Arial" w:eastAsia="Arial" w:hAnsi="Arial"/>
          <w:sz w:val="24"/>
          <w:szCs w:val="24"/>
        </w:rPr>
        <w:t xml:space="preserve">	</w:t>
      </w:r>
      <w:r>
        <w:rPr>
          <w:rFonts w:ascii="Arial" w:cs="Arial" w:eastAsia="Arial" w:hAnsi="Arial"/>
          <w:sz w:val="24"/>
          <w:szCs w:val="24"/>
        </w:rPr>
        <w:t xml:space="preserve">13000</w:t>
      </w:r>
    </w:p>
    <w:p>
      <w:pPr>
        <w:tabs>
          <w:tab w:val="right" w:pos="10178"/>
        </w:tabs>
        <w:spacing w:after="120"/>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r>
        <w:rPr>
          <w:rFonts w:ascii="Arial" w:cs="Arial" w:eastAsia="Arial" w:hAnsi="Arial"/>
          <w:sz w:val="24"/>
          <w:szCs w:val="24"/>
        </w:rPr>
        <w:t xml:space="preserve">	</w:t>
      </w:r>
      <w:r>
        <w:rPr>
          <w:rFonts w:ascii="Arial" w:cs="Arial" w:eastAsia="Arial" w:hAnsi="Arial"/>
          <w:sz w:val="24"/>
          <w:szCs w:val="24"/>
        </w:rPr>
        <w:t xml:space="preserve">14000</w:t>
      </w:r>
    </w:p>
    <w:p>
      <w:pPr>
        <w:tabs>
          <w:tab w:val="right" w:pos="10178"/>
        </w:tabs>
        <w:spacing w:after="120"/>
      </w:pPr>
      <w:r>
        <w:rPr>
          <w:rFonts w:ascii="Arial" w:cs="Arial" w:eastAsia="Arial" w:hAnsi="Arial"/>
          <w:sz w:val="24"/>
          <w:szCs w:val="24"/>
        </w:rPr>
        <w:t xml:space="preserve">Сырцовая глина (саман, гуваляк, сокмо)</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Шлакоблок, полистирольный строительный блок</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Металл</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Прочие материалы и материалы для временных помещений</w:t>
      </w:r>
      <w:r>
        <w:rPr>
          <w:rFonts w:ascii="Arial" w:cs="Arial" w:eastAsia="Arial" w:hAnsi="Arial"/>
          <w:sz w:val="24"/>
          <w:szCs w:val="24"/>
        </w:rPr>
        <w:t xml:space="preserve">	</w:t>
      </w:r>
      <w:r>
        <w:rPr>
          <w:rFonts w:ascii="Arial" w:cs="Arial" w:eastAsia="Arial" w:hAnsi="Arial"/>
          <w:sz w:val="24"/>
          <w:szCs w:val="24"/>
        </w:rPr>
        <w:t xml:space="preserve">4000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расчете облагаемой стоимости объекта имущества за основу принимается материал стен, который преобладает в стенах объекта имущества. Порядок определения преобладающего материала устанавливается Правительством Кыргызской Республики.</w:t>
      </w:r>
    </w:p>
    <w:p>
      <w:pPr>
        <w:spacing w:after="120"/>
        <w:jc w:val="both"/>
      </w:pPr>
      <w:r>
        <w:rPr>
          <w:rFonts w:ascii="Arial" w:cs="Arial" w:eastAsia="Arial" w:hAnsi="Arial"/>
          <w:sz w:val="24"/>
          <w:szCs w:val="24"/>
        </w:rPr>
        <w:t xml:space="preserve">4. Для объекта имущества 1 группы общая площадь определяется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w:t>
      </w:r>
    </w:p>
    <w:p>
      <w:pPr>
        <w:spacing w:after="120"/>
        <w:jc w:val="both"/>
      </w:pPr>
      <w:r>
        <w:rPr>
          <w:rFonts w:ascii="Arial" w:cs="Arial" w:eastAsia="Arial" w:hAnsi="Arial"/>
          <w:sz w:val="24"/>
          <w:szCs w:val="24"/>
        </w:rPr>
        <w:t xml:space="preserve">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jc w:val="both"/>
      </w:pPr>
      <w:r>
        <w:rPr>
          <w:rFonts w:ascii="Arial" w:cs="Arial" w:eastAsia="Arial" w:hAnsi="Arial"/>
          <w:sz w:val="24"/>
          <w:szCs w:val="24"/>
        </w:rPr>
        <w:t xml:space="preserve">5. Для объектов имущества 2 и 3 групп общая площадь объекта имущества определяется на основании данных о размере общей площади административных, производственных и складских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w:t>
      </w:r>
    </w:p>
    <w:p>
      <w:pPr>
        <w:spacing w:after="120"/>
        <w:jc w:val="both"/>
      </w:pPr>
      <w:r>
        <w:rPr>
          <w:rFonts w:ascii="Arial" w:cs="Arial" w:eastAsia="Arial" w:hAnsi="Arial"/>
          <w:sz w:val="24"/>
          <w:szCs w:val="24"/>
        </w:rPr>
        <w:t xml:space="preserve">6. В случае отсутствия регистрации прав на имущество и/или расхождения налоговой базы и/или функционального назначения, определенных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определяются в порядке, установленном Правительством Кыргызской Республики, согласно физическим обмерам по внешнему периметру объекта 1, 2 или 3 группы, проведенным комиссией в составе уполномоченных представителей соответствующего налогового органа, государственного органа по регистрации прав на недвижимое имущество, органа местного самоуправления и фактических пользователей объекта имущества.</w:t>
      </w:r>
    </w:p>
    <w:p>
      <w:pPr>
        <w:spacing w:after="120"/>
        <w:jc w:val="both"/>
      </w:pPr>
      <w:r>
        <w:rPr>
          <w:rFonts w:ascii="Arial" w:cs="Arial" w:eastAsia="Arial" w:hAnsi="Arial"/>
          <w:sz w:val="24"/>
          <w:szCs w:val="24"/>
        </w:rPr>
        <w:t xml:space="preserve">Результат обмера оформляется актом в трех экземплярах, которые передаются в налоговый орган для определения суммы налогового обязательства по объекту имущества, территориальный орган по регистрации объектов недвижимости, а также фактическому пользователю объекта имущества соответственно.</w:t>
      </w:r>
    </w:p>
    <w:p>
      <w:pPr>
        <w:spacing w:after="120"/>
        <w:jc w:val="both"/>
      </w:pPr>
      <w:r>
        <w:rPr>
          <w:rFonts w:ascii="Arial" w:cs="Arial" w:eastAsia="Arial" w:hAnsi="Arial"/>
          <w:sz w:val="24"/>
          <w:szCs w:val="24"/>
        </w:rPr>
        <w:t xml:space="preserve">7. Региональный коэффициент Кр устанавливается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областей и районов</w:t>
      </w:r>
      <w:r>
        <w:rPr>
          <w:rFonts w:ascii="Arial" w:cs="Arial" w:eastAsia="Arial" w:hAnsi="Arial"/>
          <w:sz w:val="24"/>
          <w:szCs w:val="24"/>
        </w:rPr>
        <w:t xml:space="preserve">	</w:t>
      </w:r>
      <w:r>
        <w:rPr>
          <w:rFonts w:ascii="Arial" w:cs="Arial" w:eastAsia="Arial" w:hAnsi="Arial"/>
          <w:sz w:val="24"/>
          <w:szCs w:val="24"/>
        </w:rPr>
        <w:t xml:space="preserve">Значение Кр</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Баткенский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Ляйлякский район</w:t>
      </w:r>
      <w:r>
        <w:rPr>
          <w:rFonts w:ascii="Arial" w:cs="Arial" w:eastAsia="Arial" w:hAnsi="Arial"/>
          <w:sz w:val="24"/>
          <w:szCs w:val="24"/>
        </w:rPr>
        <w:t xml:space="preserve">	</w:t>
      </w:r>
      <w:r>
        <w:rPr>
          <w:rFonts w:ascii="Arial" w:cs="Arial" w:eastAsia="Arial" w:hAnsi="Arial"/>
          <w:sz w:val="24"/>
          <w:szCs w:val="24"/>
        </w:rPr>
        <w:t xml:space="preserve">Нарынская область</w:t>
      </w:r>
    </w:p>
    <w:p>
      <w:pPr>
        <w:tabs>
          <w:tab w:val="right" w:pos="10178"/>
        </w:tabs>
        <w:spacing w:after="120"/>
      </w:pPr>
      <w:r>
        <w:rPr>
          <w:rFonts w:ascii="Arial" w:cs="Arial" w:eastAsia="Arial" w:hAnsi="Arial"/>
          <w:sz w:val="24"/>
          <w:szCs w:val="24"/>
        </w:rPr>
        <w:t xml:space="preserve">г.Нарын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Кадамджайский район</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г.Кызыл-Кия</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г.Сулюкта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Аксыйский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Ала-Букинский район</w:t>
      </w:r>
      <w:r>
        <w:rPr>
          <w:rFonts w:ascii="Arial" w:cs="Arial" w:eastAsia="Arial" w:hAnsi="Arial"/>
          <w:sz w:val="24"/>
          <w:szCs w:val="24"/>
        </w:rPr>
        <w:t xml:space="preserve">	</w:t>
      </w:r>
      <w:r>
        <w:rPr>
          <w:rFonts w:ascii="Arial" w:cs="Arial" w:eastAsia="Arial" w:hAnsi="Arial"/>
          <w:sz w:val="24"/>
          <w:szCs w:val="24"/>
        </w:rPr>
        <w:t xml:space="preserve">Ошская область</w:t>
      </w:r>
    </w:p>
    <w:p>
      <w:pPr>
        <w:tabs>
          <w:tab w:val="right" w:pos="10178"/>
        </w:tabs>
        <w:spacing w:after="120"/>
      </w:pPr>
      <w:r>
        <w:rPr>
          <w:rFonts w:ascii="Arial" w:cs="Arial" w:eastAsia="Arial" w:hAnsi="Arial"/>
          <w:sz w:val="24"/>
          <w:szCs w:val="24"/>
        </w:rPr>
        <w:t xml:space="preserve">Базар-Коргонский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Ноокенский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Сузакский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Тогуз-Тороуский район</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Токтогульский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Чаткальский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г.Джалал-Абад</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г.Майлуу-Суу</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г.Кара-Куль</w:t>
      </w:r>
      <w:r>
        <w:rPr>
          <w:rFonts w:ascii="Arial" w:cs="Arial" w:eastAsia="Arial" w:hAnsi="Arial"/>
          <w:sz w:val="24"/>
          <w:szCs w:val="24"/>
        </w:rPr>
        <w:t xml:space="preserve">	</w:t>
      </w:r>
      <w:r>
        <w:rPr>
          <w:rFonts w:ascii="Arial" w:cs="Arial" w:eastAsia="Arial" w:hAnsi="Arial"/>
          <w:sz w:val="24"/>
          <w:szCs w:val="24"/>
        </w:rPr>
        <w:t xml:space="preserve">Чуйская область</w:t>
      </w:r>
    </w:p>
    <w:p>
      <w:pPr>
        <w:tabs>
          <w:tab w:val="right" w:pos="10178"/>
        </w:tabs>
        <w:spacing w:after="120"/>
      </w:pPr>
      <w:r>
        <w:rPr>
          <w:rFonts w:ascii="Arial" w:cs="Arial" w:eastAsia="Arial" w:hAnsi="Arial"/>
          <w:sz w:val="24"/>
          <w:szCs w:val="24"/>
        </w:rPr>
        <w:t xml:space="preserve">г.Таш-Кумыр</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Ак-Суйский район</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Джети-Огузский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Иссык-Кульский район</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Тонский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Тюпский район</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г.Каракол</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г.Балыкчи</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Манасский район</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Таласский район</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г. Талас</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Значение зонального коэффициента Кз равняется 1, за исключением городов Бишкек и Ош.</w:t>
      </w:r>
    </w:p>
    <w:p>
      <w:pPr>
        <w:spacing w:after="120"/>
        <w:jc w:val="both"/>
      </w:pPr>
      <w:r>
        <w:rPr>
          <w:rFonts w:ascii="Arial" w:cs="Arial" w:eastAsia="Arial" w:hAnsi="Arial"/>
          <w:sz w:val="24"/>
          <w:szCs w:val="24"/>
        </w:rPr>
        <w:t xml:space="preserve">Значения зонального коэффициента Кз и границы стоимостных зон в городах Бишкек и Ош устанавливаются Правительством Кыргызской Республики по согласованию с профильным Комитетом Жогорку Кенеша Кыргызской Республики в размере от 0,3 до 1,2, не чаще, чем один раз в течение налогового периода в срок не менее 30 дней до начала следующего календарного года.</w:t>
      </w:r>
    </w:p>
    <w:p>
      <w:pPr>
        <w:spacing w:after="120"/>
        <w:jc w:val="both"/>
      </w:pPr>
      <w:r>
        <w:rPr>
          <w:rFonts w:ascii="Arial" w:cs="Arial" w:eastAsia="Arial" w:hAnsi="Arial"/>
          <w:sz w:val="24"/>
          <w:szCs w:val="24"/>
        </w:rPr>
        <w:t xml:space="preserve">Если коэффициент Кз не установлен на текущий налоговый период, для расчета налога на имущество применяются значения Кз, установленные для предыдущего налогового периода.</w:t>
      </w:r>
    </w:p>
    <w:p>
      <w:pPr>
        <w:spacing w:after="120"/>
        <w:jc w:val="both"/>
      </w:pPr>
      <w:r>
        <w:rPr>
          <w:rFonts w:ascii="Arial" w:cs="Arial" w:eastAsia="Arial" w:hAnsi="Arial"/>
          <w:sz w:val="24"/>
          <w:szCs w:val="24"/>
        </w:rPr>
        <w:t xml:space="preserve">9. Отраслевой (функциональный) коэффициент Ко устанавливается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Гостиницы, игорные заведения, ломбарды, обменные пункты</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Автозаправочные станции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Мини-рынки, рынки, торгово-рыночные центры, комплексы</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Предприятия общественного питания, торговли, сферы услуг</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Административные, офисные здания, бизнес-центры, банки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Предприятия транспорта, предприятия автосервиса, связи и энергетики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Санатории</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Предприятия промышленности, строительства</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Оборонно-спортивно-технические организации</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Сельскохозяйственные производственные здания</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Отраслевая принадлежность (функциональное назначение) объекта имущества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11. Если коэффициенты Кр, Кз, Ко не установлены, их значения принимаются равными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устанавливается в размере:</w:t>
      </w:r>
    </w:p>
    <w:p>
      <w:pPr>
        <w:spacing w:after="120"/>
        <w:jc w:val="both"/>
      </w:pPr>
      <w:r>
        <w:rPr>
          <w:rFonts w:ascii="Arial" w:cs="Arial" w:eastAsia="Arial" w:hAnsi="Arial"/>
          <w:sz w:val="24"/>
          <w:szCs w:val="24"/>
        </w:rPr>
        <w:t xml:space="preserve">1) для объектов имущества 1 группы - 0,35 процента от налогооблагаемой базы;</w:t>
      </w:r>
    </w:p>
    <w:p>
      <w:pPr>
        <w:spacing w:after="120"/>
        <w:jc w:val="both"/>
      </w:pPr>
      <w:r>
        <w:rPr>
          <w:rFonts w:ascii="Arial" w:cs="Arial" w:eastAsia="Arial" w:hAnsi="Arial"/>
          <w:sz w:val="24"/>
          <w:szCs w:val="24"/>
        </w:rPr>
        <w:t xml:space="preserve">2) для объектов имущества 2 и 3 групп - 0,8 процента от налогооблагаемой базы;</w:t>
      </w:r>
    </w:p>
    <w:p>
      <w:pPr>
        <w:spacing w:after="120"/>
        <w:jc w:val="both"/>
      </w:pPr>
      <w:r>
        <w:rPr>
          <w:rFonts w:ascii="Arial" w:cs="Arial" w:eastAsia="Arial" w:hAnsi="Arial"/>
          <w:sz w:val="24"/>
          <w:szCs w:val="24"/>
        </w:rPr>
        <w:t xml:space="preserve">3) для объектов имущества 4 группы:</w:t>
      </w:r>
    </w:p>
    <w:p>
      <w:pPr>
        <w:spacing w:after="120"/>
        <w:jc w:val="both"/>
      </w:pPr>
      <w:r>
        <w:rPr>
          <w:rFonts w:ascii="Arial" w:cs="Arial" w:eastAsia="Arial" w:hAnsi="Arial"/>
          <w:sz w:val="24"/>
          <w:szCs w:val="24"/>
        </w:rPr>
        <w:t xml:space="preserve">а) работающих на двигателе внутреннего сгорания: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транспорта</w:t>
      </w:r>
      <w:r>
        <w:rPr>
          <w:rFonts w:ascii="Arial" w:cs="Arial" w:eastAsia="Arial" w:hAnsi="Arial"/>
          <w:sz w:val="24"/>
          <w:szCs w:val="24"/>
        </w:rPr>
        <w:t xml:space="preserve">	</w:t>
      </w:r>
      <w:r>
        <w:rPr>
          <w:rFonts w:ascii="Arial" w:cs="Arial" w:eastAsia="Arial" w:hAnsi="Arial"/>
          <w:sz w:val="24"/>
          <w:szCs w:val="24"/>
        </w:rPr>
        <w:t xml:space="preserve">Ставки налога в сомах с каждого 1 куб.см рабочего объема двигателя</w:t>
      </w:r>
    </w:p>
    <w:p>
      <w:pPr>
        <w:tabs>
          <w:tab w:val="right" w:pos="10178"/>
        </w:tabs>
        <w:spacing w:after="120"/>
      </w:pPr>
      <w:r>
        <w:rPr>
          <w:rFonts w:ascii="Arial" w:cs="Arial" w:eastAsia="Arial" w:hAnsi="Arial"/>
          <w:sz w:val="24"/>
          <w:szCs w:val="24"/>
        </w:rPr>
        <w:t xml:space="preserve">Легковые автомобили, фургоны и пикапы на базе легковых автомобилей</w:t>
      </w:r>
      <w:r>
        <w:rPr>
          <w:rFonts w:ascii="Arial" w:cs="Arial" w:eastAsia="Arial" w:hAnsi="Arial"/>
          <w:sz w:val="24"/>
          <w:szCs w:val="24"/>
        </w:rPr>
        <w:t xml:space="preserve">	</w:t>
      </w:r>
      <w:r>
        <w:rPr>
          <w:rFonts w:ascii="Arial" w:cs="Arial" w:eastAsia="Arial" w:hAnsi="Arial"/>
          <w:sz w:val="24"/>
          <w:szCs w:val="24"/>
        </w:rPr>
        <w:t xml:space="preserve">0,90</w:t>
      </w:r>
    </w:p>
    <w:p>
      <w:pPr>
        <w:tabs>
          <w:tab w:val="right" w:pos="10178"/>
        </w:tabs>
        <w:spacing w:after="120"/>
      </w:pPr>
      <w:r>
        <w:rPr>
          <w:rFonts w:ascii="Arial" w:cs="Arial" w:eastAsia="Arial" w:hAnsi="Arial"/>
          <w:sz w:val="24"/>
          <w:szCs w:val="24"/>
        </w:rPr>
        <w:t xml:space="preserve">Грузовые автомобили, автобусы, микроавтобусы</w:t>
      </w:r>
      <w:r>
        <w:rPr>
          <w:rFonts w:ascii="Arial" w:cs="Arial" w:eastAsia="Arial" w:hAnsi="Arial"/>
          <w:sz w:val="24"/>
          <w:szCs w:val="24"/>
        </w:rPr>
        <w:t xml:space="preserve">	</w:t>
      </w:r>
      <w:r>
        <w:rPr>
          <w:rFonts w:ascii="Arial" w:cs="Arial" w:eastAsia="Arial" w:hAnsi="Arial"/>
          <w:sz w:val="24"/>
          <w:szCs w:val="24"/>
        </w:rPr>
        <w:t xml:space="preserve">0,75</w:t>
      </w:r>
    </w:p>
    <w:p>
      <w:pPr>
        <w:tabs>
          <w:tab w:val="right" w:pos="10178"/>
        </w:tabs>
        <w:spacing w:after="120"/>
      </w:pPr>
      <w:r>
        <w:rPr>
          <w:rFonts w:ascii="Arial" w:cs="Arial" w:eastAsia="Arial" w:hAnsi="Arial"/>
          <w:sz w:val="24"/>
          <w:szCs w:val="24"/>
        </w:rPr>
        <w:t xml:space="preserve">Самоходные машины и/или механизмы: тракторы, комбайны, дорожно-строительные машины</w:t>
      </w:r>
      <w:r>
        <w:rPr>
          <w:rFonts w:ascii="Arial" w:cs="Arial" w:eastAsia="Arial" w:hAnsi="Arial"/>
          <w:sz w:val="24"/>
          <w:szCs w:val="24"/>
        </w:rPr>
        <w:t xml:space="preserve">	</w:t>
      </w:r>
      <w:r>
        <w:rPr>
          <w:rFonts w:ascii="Arial" w:cs="Arial" w:eastAsia="Arial" w:hAnsi="Arial"/>
          <w:sz w:val="24"/>
          <w:szCs w:val="24"/>
        </w:rPr>
        <w:t xml:space="preserve">0,30</w:t>
      </w:r>
    </w:p>
    <w:p>
      <w:pPr>
        <w:tabs>
          <w:tab w:val="right" w:pos="10178"/>
        </w:tabs>
        <w:spacing w:after="120"/>
      </w:pPr>
      <w:r>
        <w:rPr>
          <w:rFonts w:ascii="Arial" w:cs="Arial" w:eastAsia="Arial" w:hAnsi="Arial"/>
          <w:sz w:val="24"/>
          <w:szCs w:val="24"/>
        </w:rPr>
        <w:t xml:space="preserve">в том числе: самоходные машины и/или механизмы (тракторы и комбайны), используемые в сельскохозяйственном производстве</w:t>
      </w:r>
      <w:r>
        <w:rPr>
          <w:rFonts w:ascii="Arial" w:cs="Arial" w:eastAsia="Arial" w:hAnsi="Arial"/>
          <w:sz w:val="24"/>
          <w:szCs w:val="24"/>
        </w:rPr>
        <w:t xml:space="preserve">	</w:t>
      </w:r>
      <w:r>
        <w:rPr>
          <w:rFonts w:ascii="Arial" w:cs="Arial" w:eastAsia="Arial" w:hAnsi="Arial"/>
          <w:sz w:val="24"/>
          <w:szCs w:val="24"/>
        </w:rPr>
        <w:t xml:space="preserve">0,10</w:t>
      </w:r>
    </w:p>
    <w:p>
      <w:pPr>
        <w:tabs>
          <w:tab w:val="right" w:pos="10178"/>
        </w:tabs>
        <w:spacing w:after="120"/>
      </w:pPr>
      <w:r>
        <w:rPr>
          <w:rFonts w:ascii="Arial" w:cs="Arial" w:eastAsia="Arial" w:hAnsi="Arial"/>
          <w:sz w:val="24"/>
          <w:szCs w:val="24"/>
        </w:rPr>
        <w:t xml:space="preserve">Мотоциклы, мотороллеры, мопеды, мотосани и моторные лодки, катера, корабли, теплоходы</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Яхты и водные мотоциклы</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имеющих двигатель внутреннего сгорания, не предусмотренных подпунктом а) пункта 3) настоящей статьи или не имеющих двигателя внутреннего сгорания, - 0,5 процента от балансовой стоимости;</w:t>
      </w:r>
    </w:p>
    <w:p>
      <w:pPr>
        <w:spacing w:after="120"/>
        <w:jc w:val="both"/>
      </w:pPr>
      <w:r>
        <w:rPr>
          <w:rFonts w:ascii="Arial" w:cs="Arial" w:eastAsia="Arial" w:hAnsi="Arial"/>
          <w:sz w:val="24"/>
          <w:szCs w:val="24"/>
        </w:rPr>
        <w:t xml:space="preserve">в) не имеющих двигателя внутреннего сгорания и балансовой стоимости, - 0,5 процента от стоимости, определяемой в соответствии с подпунктом в) пункта 2) статьи 325 настоящего Кодекса.».</w:t>
      </w:r>
    </w:p>
    <w:p>
      <w:pPr>
        <w:spacing w:after="120"/>
        <w:jc w:val="both"/>
      </w:pPr>
      <w:r>
        <w:rPr>
          <w:rFonts w:ascii="Arial" w:cs="Arial" w:eastAsia="Arial" w:hAnsi="Arial"/>
          <w:sz w:val="24"/>
          <w:szCs w:val="24"/>
        </w:rPr>
        <w:t xml:space="preserve">3. Статью 329 признать утратившей силу.</w:t>
      </w:r>
    </w:p>
    <w:p>
      <w:pPr>
        <w:spacing w:after="120"/>
        <w:jc w:val="both"/>
      </w:pPr>
      <w:r>
        <w:rPr>
          <w:rFonts w:ascii="Arial" w:cs="Arial" w:eastAsia="Arial" w:hAnsi="Arial"/>
          <w:sz w:val="24"/>
          <w:szCs w:val="24"/>
        </w:rPr>
        <w:t xml:space="preserve">4. Статьи 330-333 изложить в следующей редакции:</w:t>
      </w:r>
    </w:p>
    <w:p>
      <w:pPr>
        <w:spacing w:after="120"/>
        <w:jc w:val="both"/>
      </w:pPr>
      <w:r>
        <w:rPr>
          <w:rFonts w:ascii="Arial" w:cs="Arial" w:eastAsia="Arial" w:hAnsi="Arial"/>
          <w:sz w:val="24"/>
          <w:szCs w:val="24"/>
        </w:rPr>
        <w:t xml:space="preserve">«Статья 330. Льготы по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подлежат налогообложению:</w:t>
      </w:r>
    </w:p>
    <w:p>
      <w:pPr>
        <w:spacing w:after="120"/>
        <w:jc w:val="both"/>
      </w:pPr>
      <w:r>
        <w:rPr>
          <w:rFonts w:ascii="Arial" w:cs="Arial" w:eastAsia="Arial" w:hAnsi="Arial"/>
          <w:sz w:val="24"/>
          <w:szCs w:val="24"/>
        </w:rPr>
        <w:t xml:space="preserve">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 в установленном законом порядке в силу, участником которых является Кыргызская Республика;</w:t>
      </w:r>
    </w:p>
    <w:p>
      <w:pPr>
        <w:spacing w:after="120"/>
        <w:jc w:val="both"/>
      </w:pPr>
      <w:r>
        <w:rPr>
          <w:rFonts w:ascii="Arial" w:cs="Arial" w:eastAsia="Arial" w:hAnsi="Arial"/>
          <w:sz w:val="24"/>
          <w:szCs w:val="24"/>
        </w:rPr>
        <w:t xml:space="preserve">2) площадь одного объекта имущества 1 группы, принадлежащего собственнику данного объекта, не превышающая следующего размера: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Площадь объекта имущества 1 группы, не облагаемая налогом на имущество, в зависимости от численности населения в населенных пунктах, кв.м</w:t>
      </w:r>
    </w:p>
    <w:p>
      <w:pPr>
        <w:tabs>
          <w:tab w:val="right" w:pos="10178"/>
        </w:tabs>
        <w:spacing w:after="120"/>
      </w:pPr>
      <w:r>
        <w:rPr>
          <w:rFonts w:ascii="Arial" w:cs="Arial" w:eastAsia="Arial" w:hAnsi="Arial"/>
          <w:sz w:val="24"/>
          <w:szCs w:val="24"/>
        </w:rPr>
        <w:t xml:space="preserve">тыс. чел.</w:t>
      </w:r>
      <w:r>
        <w:rPr>
          <w:rFonts w:ascii="Arial" w:cs="Arial" w:eastAsia="Arial" w:hAnsi="Arial"/>
          <w:sz w:val="24"/>
          <w:szCs w:val="24"/>
        </w:rPr>
        <w:t xml:space="preserve">	</w:t>
      </w:r>
      <w:r>
        <w:rPr>
          <w:rFonts w:ascii="Arial" w:cs="Arial" w:eastAsia="Arial" w:hAnsi="Arial"/>
          <w:sz w:val="24"/>
          <w:szCs w:val="24"/>
        </w:rPr>
        <w:t xml:space="preserve">500 и</w:t>
      </w:r>
    </w:p>
    <w:p>
      <w:pPr>
        <w:tabs>
          <w:tab w:val="right" w:pos="10178"/>
        </w:tabs>
        <w:spacing w:after="120"/>
      </w:pPr>
      <w:r>
        <w:rPr>
          <w:rFonts w:ascii="Arial" w:cs="Arial" w:eastAsia="Arial" w:hAnsi="Arial"/>
          <w:sz w:val="24"/>
          <w:szCs w:val="24"/>
        </w:rPr>
        <w:t xml:space="preserve">Жилой дом, дачный дом, кв.м</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Квартира, кв.м</w:t>
      </w:r>
      <w:r>
        <w:rPr>
          <w:rFonts w:ascii="Arial" w:cs="Arial" w:eastAsia="Arial" w:hAnsi="Arial"/>
          <w:sz w:val="24"/>
          <w:szCs w:val="24"/>
        </w:rPr>
        <w:t xml:space="preserve">	</w:t>
      </w: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объекты имущества обществ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предприятий определяется Правительством Кыргызской Республики;</w:t>
      </w:r>
    </w:p>
    <w:p>
      <w:pPr>
        <w:spacing w:after="120"/>
        <w:jc w:val="both"/>
      </w:pPr>
      <w:r>
        <w:rPr>
          <w:rFonts w:ascii="Arial" w:cs="Arial" w:eastAsia="Arial" w:hAnsi="Arial"/>
          <w:sz w:val="24"/>
          <w:szCs w:val="24"/>
        </w:rPr>
        <w:t xml:space="preserve">4)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120"/>
        <w:jc w:val="both"/>
      </w:pPr>
      <w:r>
        <w:rPr>
          <w:rFonts w:ascii="Arial" w:cs="Arial" w:eastAsia="Arial" w:hAnsi="Arial"/>
          <w:sz w:val="24"/>
          <w:szCs w:val="24"/>
        </w:rPr>
        <w:t xml:space="preserve">2. От уплаты налога на имущество освобождаются:</w:t>
      </w:r>
    </w:p>
    <w:p>
      <w:pPr>
        <w:spacing w:after="120"/>
        <w:jc w:val="both"/>
      </w:pPr>
      <w:r>
        <w:rPr>
          <w:rFonts w:ascii="Arial" w:cs="Arial" w:eastAsia="Arial" w:hAnsi="Arial"/>
          <w:sz w:val="24"/>
          <w:szCs w:val="24"/>
        </w:rPr>
        <w:t xml:space="preserve">1) лица, удостоенные высшей степенью отличия Кыргызской Республики «Кыргыз Республикасынын Баатыры»,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в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jc w:val="both"/>
      </w:pPr>
      <w:r>
        <w:rPr>
          <w:rFonts w:ascii="Arial" w:cs="Arial" w:eastAsia="Arial" w:hAnsi="Arial"/>
          <w:sz w:val="24"/>
          <w:szCs w:val="24"/>
        </w:rPr>
        <w:t xml:space="preserve">Лица, указанные в настоящей части,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jc w:val="both"/>
      </w:pPr>
      <w:r>
        <w:rPr>
          <w:rFonts w:ascii="Arial" w:cs="Arial" w:eastAsia="Arial" w:hAnsi="Arial"/>
          <w:sz w:val="24"/>
          <w:szCs w:val="24"/>
        </w:rPr>
        <w:t xml:space="preserve">2) инвалиды, имеющие мотоколяски и автомобили с ручным управлением, - по данным автотранспортным средствам.</w:t>
      </w:r>
    </w:p>
    <w:p>
      <w:pPr>
        <w:spacing w:after="120"/>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jc w:val="both"/>
      </w:pPr>
      <w:r>
        <w:rPr>
          <w:rFonts w:ascii="Arial" w:cs="Arial" w:eastAsia="Arial" w:hAnsi="Arial"/>
          <w:sz w:val="24"/>
          <w:szCs w:val="24"/>
        </w:rPr>
        <w:t xml:space="preserve">1) при возникновении права на льготу до 1 августа отчетного налогового периода - на отчетный налоговый период;</w:t>
      </w:r>
    </w:p>
    <w:p>
      <w:pPr>
        <w:spacing w:after="120"/>
        <w:jc w:val="both"/>
      </w:pPr>
      <w:r>
        <w:rPr>
          <w:rFonts w:ascii="Arial" w:cs="Arial" w:eastAsia="Arial" w:hAnsi="Arial"/>
          <w:sz w:val="24"/>
          <w:szCs w:val="24"/>
        </w:rPr>
        <w:t xml:space="preserve">2) при возникновении права на льготу после 1 августа отчетного налогового периода - на налоговые периоды, следующие за отчетным.</w:t>
      </w:r>
    </w:p>
    <w:p>
      <w:pPr>
        <w:spacing w:after="120"/>
        <w:jc w:val="both"/>
      </w:pPr>
      <w:r>
        <w:rPr>
          <w:rFonts w:ascii="Arial" w:cs="Arial" w:eastAsia="Arial" w:hAnsi="Arial"/>
          <w:sz w:val="24"/>
          <w:szCs w:val="24"/>
        </w:rPr>
        <w:t xml:space="preserve">4. Местные кенеши имеют право:</w:t>
      </w:r>
    </w:p>
    <w:p>
      <w:pPr>
        <w:spacing w:after="120"/>
        <w:jc w:val="both"/>
      </w:pPr>
      <w:r>
        <w:rPr>
          <w:rFonts w:ascii="Arial" w:cs="Arial" w:eastAsia="Arial" w:hAnsi="Arial"/>
          <w:sz w:val="24"/>
          <w:szCs w:val="24"/>
        </w:rPr>
        <w:t xml:space="preserve">1) предоставлять полное или частичное освобождение от уплаты налога на имущество на срок до 3 лет в случаях, когда налогоплательщик понес материальные убытки вследствие непреодолимой силы;</w:t>
      </w:r>
    </w:p>
    <w:p>
      <w:pPr>
        <w:spacing w:after="120"/>
        <w:jc w:val="both"/>
      </w:pPr>
      <w:r>
        <w:rPr>
          <w:rFonts w:ascii="Arial" w:cs="Arial" w:eastAsia="Arial" w:hAnsi="Arial"/>
          <w:sz w:val="24"/>
          <w:szCs w:val="24"/>
        </w:rPr>
        <w:t xml:space="preserve">2) предоставлять освобождение от уплаты налога на имущество на срок до 5 лет для вновь созданной организации, осуществляющей деятельность по производству и/или переработке продукции при условии обеспечения объема производства и/или переработки выпускаемой продукции не менее 30,0 миллионов сомов в год.</w:t>
      </w:r>
    </w:p>
    <w:p>
      <w:pPr>
        <w:spacing w:after="120"/>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со дня принятия данного имущества в собственность банка до даты начала использования объекта имущества или до даты реализации залогового имущества в сроки, установленные законодательством Кыргызской Республики, в зависимости от того, какое из этих событий возникло раньше.</w:t>
      </w:r>
    </w:p>
    <w:p>
      <w:pPr>
        <w:spacing w:after="120"/>
        <w:jc w:val="both"/>
      </w:pPr>
      <w:r>
        <w:rPr>
          <w:rFonts w:ascii="Arial" w:cs="Arial" w:eastAsia="Arial" w:hAnsi="Arial"/>
          <w:sz w:val="24"/>
          <w:szCs w:val="24"/>
        </w:rPr>
        <w:t xml:space="preserve">6. Налогоплательщик имеет право уменьшить сумму налога на имущество на сумму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Порядок исчисления налога. Дата налогового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Исчисление налога на имущество производится налогоплательщиком самостоятельно в соответствии с порядком, установленным настоящим разделом и частью 1 статьи 37 настоящего Кодекса.</w:t>
      </w:r>
    </w:p>
    <w:p>
      <w:pPr>
        <w:spacing w:after="120"/>
        <w:jc w:val="both"/>
      </w:pPr>
      <w:r>
        <w:rPr>
          <w:rFonts w:ascii="Arial" w:cs="Arial" w:eastAsia="Arial" w:hAnsi="Arial"/>
          <w:sz w:val="24"/>
          <w:szCs w:val="24"/>
        </w:rPr>
        <w:t xml:space="preserve">2. По объекту нового строительства или его части налоговое обязательство по налогу на имущество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w:t>
      </w:r>
    </w:p>
    <w:p>
      <w:pPr>
        <w:spacing w:after="120"/>
        <w:jc w:val="both"/>
      </w:pPr>
      <w:r>
        <w:rPr>
          <w:rFonts w:ascii="Arial" w:cs="Arial" w:eastAsia="Arial" w:hAnsi="Arial"/>
          <w:sz w:val="24"/>
          <w:szCs w:val="24"/>
        </w:rPr>
        <w:t xml:space="preserve">3. По объекту реконструкции или его части налоговое обязательство по налогу на имущество по новой налогооблагаемой стоимости возникает с первого числа месяца, следующего после даты приемки объекта или его части в эксплуатацию. До даты приемки объекта или его части в эксплуатацию применяется предыдущая налогооблагаемая стоимость объекта.</w:t>
      </w:r>
    </w:p>
    <w:p>
      <w:pPr>
        <w:spacing w:after="120"/>
        <w:jc w:val="both"/>
      </w:pPr>
      <w:r>
        <w:rPr>
          <w:rFonts w:ascii="Arial" w:cs="Arial" w:eastAsia="Arial" w:hAnsi="Arial"/>
          <w:sz w:val="24"/>
          <w:szCs w:val="24"/>
        </w:rPr>
        <w:t xml:space="preserve">В случае прекращения пользования объектом имущества 2 группы или его части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начала работ по реконструкции до первого числа месяца, следующего за месяцем, в котором данный объект введен в эксплуатацию.</w:t>
      </w:r>
    </w:p>
    <w:p>
      <w:pPr>
        <w:spacing w:after="120"/>
        <w:jc w:val="both"/>
      </w:pPr>
      <w:r>
        <w:rPr>
          <w:rFonts w:ascii="Arial" w:cs="Arial" w:eastAsia="Arial" w:hAnsi="Arial"/>
          <w:sz w:val="24"/>
          <w:szCs w:val="24"/>
        </w:rPr>
        <w:t xml:space="preserve">4. Если объект имущества нового строительства 1 группы зарегистрирован в установленном порядке, но не используется, налоговое обязательство по налогу на имущество возникает с первого числа двенадцатого месяца, следующего за месяцем, в котором объект имущества был зарегистрирован, или со дня начала использования имущества, в зависимости от того, какое из этих событий возникло раньше.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 физическое лицо уплачивает налог:</w:t>
      </w:r>
    </w:p>
    <w:p>
      <w:pPr>
        <w:spacing w:after="120"/>
        <w:jc w:val="both"/>
      </w:pPr>
      <w:r>
        <w:rPr>
          <w:rFonts w:ascii="Arial" w:cs="Arial" w:eastAsia="Arial" w:hAnsi="Arial"/>
          <w:sz w:val="24"/>
          <w:szCs w:val="24"/>
        </w:rPr>
        <w:t xml:space="preserve">1) на объекты имущества 1 группы в срок не позднее 1 сентября текущего года по месту учетной регистрации или местонахождения объекта имущества;</w:t>
      </w:r>
    </w:p>
    <w:p>
      <w:pPr>
        <w:spacing w:after="120"/>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 - по месту регистрации объекта имущества.</w:t>
      </w:r>
    </w:p>
    <w:p>
      <w:pPr>
        <w:spacing w:after="120"/>
        <w:jc w:val="both"/>
      </w:pPr>
      <w:r>
        <w:rPr>
          <w:rFonts w:ascii="Arial" w:cs="Arial" w:eastAsia="Arial" w:hAnsi="Arial"/>
          <w:sz w:val="24"/>
          <w:szCs w:val="24"/>
        </w:rPr>
        <w:t xml:space="preserve">2. Организации и индивидуальные предприниматели уплачивают налог:</w:t>
      </w:r>
    </w:p>
    <w:p>
      <w:pPr>
        <w:spacing w:after="120"/>
        <w:jc w:val="both"/>
      </w:pPr>
      <w:r>
        <w:rPr>
          <w:rFonts w:ascii="Arial" w:cs="Arial" w:eastAsia="Arial" w:hAnsi="Arial"/>
          <w:sz w:val="24"/>
          <w:szCs w:val="24"/>
        </w:rPr>
        <w:t xml:space="preserve">1) на объекты имущества 2 и 3 групп - ежеквартально в срок до 20 числа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w:t>
      </w:r>
    </w:p>
    <w:p>
      <w:pPr>
        <w:spacing w:after="120"/>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 по месту регистрации объекта в соответствующем уполномоченном государственном органе.</w:t>
      </w:r>
    </w:p>
    <w:p>
      <w:pPr>
        <w:spacing w:after="120"/>
        <w:jc w:val="both"/>
      </w:pPr>
      <w:r>
        <w:rPr>
          <w:rFonts w:ascii="Arial" w:cs="Arial" w:eastAsia="Arial" w:hAnsi="Arial"/>
          <w:sz w:val="24"/>
          <w:szCs w:val="24"/>
        </w:rPr>
        <w:t xml:space="preserve">3. Сумма налога, подлежащая уплате за фактический период владения и/или пользования объектом имущества 1, 2 и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в котором он передает объект имущества.</w:t>
      </w:r>
    </w:p>
    <w:p>
      <w:pPr>
        <w:spacing w:after="120"/>
        <w:jc w:val="both"/>
      </w:pPr>
      <w:r>
        <w:rPr>
          <w:rFonts w:ascii="Arial" w:cs="Arial" w:eastAsia="Arial" w:hAnsi="Arial"/>
          <w:sz w:val="24"/>
          <w:szCs w:val="24"/>
        </w:rPr>
        <w:t xml:space="preserve">Последующий налогоплательщик налога на имущество уплачивает сумму налога, исчисленную за период с начала месяца, в котором у него возникло право на объект имущества.</w:t>
      </w:r>
    </w:p>
    <w:p>
      <w:pPr>
        <w:spacing w:after="120"/>
        <w:jc w:val="both"/>
      </w:pPr>
      <w:r>
        <w:rPr>
          <w:rFonts w:ascii="Arial" w:cs="Arial" w:eastAsia="Arial" w:hAnsi="Arial"/>
          <w:sz w:val="24"/>
          <w:szCs w:val="24"/>
        </w:rPr>
        <w:t xml:space="preserve">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w:t>
      </w:r>
    </w:p>
    <w:p>
      <w:pPr>
        <w:spacing w:after="120"/>
        <w:jc w:val="both"/>
      </w:pPr>
      <w:r>
        <w:rPr>
          <w:rFonts w:ascii="Arial" w:cs="Arial" w:eastAsia="Arial" w:hAnsi="Arial"/>
          <w:sz w:val="24"/>
          <w:szCs w:val="24"/>
        </w:rPr>
        <w:t xml:space="preserve">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120"/>
        <w:jc w:val="both"/>
      </w:pPr>
      <w:r>
        <w:rPr>
          <w:rFonts w:ascii="Arial" w:cs="Arial" w:eastAsia="Arial" w:hAnsi="Arial"/>
          <w:sz w:val="24"/>
          <w:szCs w:val="24"/>
        </w:rPr>
        <w:t xml:space="preserve">4. Для отдаленных и труднодоступных населенных пунктов, в которых отсутствуют учреждения банков, допускается уплата суммы налога на имущество физическим лицом в налоговый орган в порядке, установленном уполномоченным налоговым органом.</w:t>
      </w:r>
    </w:p>
    <w:p>
      <w:pPr>
        <w:spacing w:after="120"/>
        <w:jc w:val="both"/>
      </w:pPr>
      <w:r>
        <w:rPr>
          <w:rFonts w:ascii="Arial" w:cs="Arial" w:eastAsia="Arial" w:hAnsi="Arial"/>
          <w:sz w:val="24"/>
          <w:szCs w:val="24"/>
        </w:rPr>
        <w:t xml:space="preserve">5. Налогоплательщик представляет информационный расчет по налогу на имущество:</w:t>
      </w:r>
    </w:p>
    <w:p>
      <w:pPr>
        <w:spacing w:after="120"/>
        <w:jc w:val="both"/>
      </w:pPr>
      <w:r>
        <w:rPr>
          <w:rFonts w:ascii="Arial" w:cs="Arial" w:eastAsia="Arial" w:hAnsi="Arial"/>
          <w:sz w:val="24"/>
          <w:szCs w:val="24"/>
        </w:rPr>
        <w:t xml:space="preserve">1) для объектов имущества 1, 2 и 3 групп:</w:t>
      </w:r>
    </w:p>
    <w:p>
      <w:pPr>
        <w:spacing w:after="120"/>
        <w:jc w:val="both"/>
      </w:pPr>
      <w:r>
        <w:rPr>
          <w:rFonts w:ascii="Arial" w:cs="Arial" w:eastAsia="Arial" w:hAnsi="Arial"/>
          <w:sz w:val="24"/>
          <w:szCs w:val="24"/>
        </w:rPr>
        <w:t xml:space="preserve">а) до 1 марта текущего года - организации и индивидуальные предприниматели;</w:t>
      </w:r>
    </w:p>
    <w:p>
      <w:pPr>
        <w:spacing w:after="120"/>
        <w:jc w:val="both"/>
      </w:pPr>
      <w:r>
        <w:rPr>
          <w:rFonts w:ascii="Arial" w:cs="Arial" w:eastAsia="Arial" w:hAnsi="Arial"/>
          <w:sz w:val="24"/>
          <w:szCs w:val="24"/>
        </w:rPr>
        <w:t xml:space="preserve">б) до 1 мая текущего года - физические лица, за исключением индивидуальных предпринимателей;</w:t>
      </w:r>
    </w:p>
    <w:p>
      <w:pPr>
        <w:spacing w:after="120"/>
        <w:jc w:val="both"/>
      </w:pPr>
      <w:r>
        <w:rPr>
          <w:rFonts w:ascii="Arial" w:cs="Arial" w:eastAsia="Arial" w:hAnsi="Arial"/>
          <w:sz w:val="24"/>
          <w:szCs w:val="24"/>
        </w:rPr>
        <w:t xml:space="preserve">2) для объектов имущества 4 группы -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6. Формы и порядок заполнения информационного расчета устанавливаются уполномоченным налоговым органом.</w:t>
      </w:r>
    </w:p>
    <w:p>
      <w:pPr>
        <w:spacing w:after="120"/>
        <w:jc w:val="both"/>
      </w:pPr>
      <w:r>
        <w:rPr>
          <w:rFonts w:ascii="Arial" w:cs="Arial" w:eastAsia="Arial" w:hAnsi="Arial"/>
          <w:sz w:val="24"/>
          <w:szCs w:val="24"/>
        </w:rPr>
        <w:t xml:space="preserve">7. В случаях, предусмотренных частями 2, 3 и 4 статьи 331 настоящего Кодекса, налогоплательщик:</w:t>
      </w:r>
    </w:p>
    <w:p>
      <w:pPr>
        <w:spacing w:after="120"/>
        <w:jc w:val="both"/>
      </w:pPr>
      <w:r>
        <w:rPr>
          <w:rFonts w:ascii="Arial" w:cs="Arial" w:eastAsia="Arial" w:hAnsi="Arial"/>
          <w:sz w:val="24"/>
          <w:szCs w:val="24"/>
        </w:rPr>
        <w:t xml:space="preserve">1) представляет информационный расчет в день возникновения налогового обязательства по налогу на имущество;</w:t>
      </w:r>
    </w:p>
    <w:p>
      <w:pPr>
        <w:spacing w:after="120"/>
        <w:jc w:val="both"/>
      </w:pPr>
      <w:r>
        <w:rPr>
          <w:rFonts w:ascii="Arial" w:cs="Arial" w:eastAsia="Arial" w:hAnsi="Arial"/>
          <w:sz w:val="24"/>
          <w:szCs w:val="24"/>
        </w:rPr>
        <w:t xml:space="preserve">2) уплачивает налог в день возникновения налогового обязательства по налогу на имущество, но не ранее сроков уплаты налога на имущество, установленных частями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Доступ к информации по налогу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jc w:val="both"/>
      </w:pPr>
      <w:r>
        <w:rPr>
          <w:rFonts w:ascii="Arial" w:cs="Arial" w:eastAsia="Arial" w:hAnsi="Arial"/>
          <w:sz w:val="24"/>
          <w:szCs w:val="24"/>
        </w:rPr>
        <w:t xml:space="preserve">1) порядок определения налогооблагаемой стоимости объекта имущества;</w:t>
      </w:r>
    </w:p>
    <w:p>
      <w:pPr>
        <w:spacing w:after="120"/>
        <w:jc w:val="both"/>
      </w:pPr>
      <w:r>
        <w:rPr>
          <w:rFonts w:ascii="Arial" w:cs="Arial" w:eastAsia="Arial" w:hAnsi="Arial"/>
          <w:sz w:val="24"/>
          <w:szCs w:val="24"/>
        </w:rPr>
        <w:t xml:space="preserve">2) размеры установленных региональных, зональных и отраслевых коэффициентов;</w:t>
      </w:r>
    </w:p>
    <w:p>
      <w:pPr>
        <w:spacing w:after="120"/>
        <w:jc w:val="both"/>
      </w:pPr>
      <w:r>
        <w:rPr>
          <w:rFonts w:ascii="Arial" w:cs="Arial" w:eastAsia="Arial" w:hAnsi="Arial"/>
          <w:sz w:val="24"/>
          <w:szCs w:val="24"/>
        </w:rPr>
        <w:t xml:space="preserve">3) разбивку территории населенного пункта на стоимостные зоны;</w:t>
      </w:r>
    </w:p>
    <w:p>
      <w:pPr>
        <w:spacing w:after="120"/>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jc w:val="both"/>
      </w:pPr>
      <w:r>
        <w:rPr>
          <w:rFonts w:ascii="Arial" w:cs="Arial" w:eastAsia="Arial" w:hAnsi="Arial"/>
          <w:sz w:val="24"/>
          <w:szCs w:val="24"/>
        </w:rPr>
        <w:t xml:space="preserve">5) ставки налога.</w:t>
      </w:r>
    </w:p>
    <w:p>
      <w:pPr>
        <w:spacing w:after="120"/>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jc w:val="both"/>
      </w:pPr>
      <w:r>
        <w:rPr>
          <w:rFonts w:ascii="Arial" w:cs="Arial" w:eastAsia="Arial" w:hAnsi="Arial"/>
          <w:sz w:val="24"/>
          <w:szCs w:val="24"/>
        </w:rPr>
        <w:t xml:space="preserve">5. Часть 4 статьи 339 изложить в следующей редакции:</w:t>
      </w:r>
    </w:p>
    <w:p>
      <w:pPr>
        <w:spacing w:after="120"/>
        <w:jc w:val="both"/>
      </w:pPr>
      <w:r>
        <w:rPr>
          <w:rFonts w:ascii="Arial" w:cs="Arial" w:eastAsia="Arial" w:hAnsi="Arial"/>
          <w:sz w:val="24"/>
          <w:szCs w:val="24"/>
        </w:rPr>
        <w:t xml:space="preserve">«4. Значения зонального коэффициента Кз устанавливаются местными кенешами, в зависимости от особенностей экономико-планировочных зон населенных пунктов, в размере от 0,3 до 1,2, не чаще, чем один раз в год, в срок не менее 30 дней до начала следующего календарного года.».</w:t>
      </w:r>
    </w:p>
    <w:p>
      <w:pPr>
        <w:spacing w:after="120"/>
        <w:jc w:val="both"/>
      </w:pPr>
      <w:r>
        <w:rPr>
          <w:rFonts w:ascii="Arial" w:cs="Arial" w:eastAsia="Arial" w:hAnsi="Arial"/>
          <w:sz w:val="24"/>
          <w:szCs w:val="24"/>
        </w:rPr>
        <w:t xml:space="preserve">6. В пункте 3 части 1 статьи 341 слова «частью 8 статьи 327» заменить словами «частью 4 статьи 339».</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Если жилой дом, квартира, дачный дом предоставлены во временное пользование (аренду) в качестве жилья, то данный объект включается в 1 группу объектов налогооблагаемого имущества, установленную статьей 1 настоящего Закона.</w:t>
      </w:r>
    </w:p>
    <w:p>
      <w:pPr>
        <w:spacing w:after="120"/>
        <w:jc w:val="both"/>
      </w:pPr>
      <w:r>
        <w:rPr>
          <w:rFonts w:ascii="Arial" w:cs="Arial" w:eastAsia="Arial" w:hAnsi="Arial"/>
          <w:sz w:val="24"/>
          <w:szCs w:val="24"/>
        </w:rPr>
        <w:t xml:space="preserve">2. Порядок, предусмотренный частью 1 настоящей статьи, действует до 1 января 2012 года.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Установить следующий порядок расчета налога на имущество 1 группы, установленной статьей 1 настоящего Закона, на период с 1 января 2010 года по 1 января 2012 года:</w:t>
      </w:r>
    </w:p>
    <w:p>
      <w:pPr>
        <w:spacing w:after="120"/>
        <w:jc w:val="both"/>
      </w:pPr>
      <w:r>
        <w:rPr>
          <w:rFonts w:ascii="Arial" w:cs="Arial" w:eastAsia="Arial" w:hAnsi="Arial"/>
          <w:sz w:val="24"/>
          <w:szCs w:val="24"/>
        </w:rPr>
        <w:t xml:space="preserve">1) для целей настоящей статьи размер налога на имущество рассчитывается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РН = БРН × Кр ×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РН - размер налога;</w:t>
      </w:r>
    </w:p>
    <w:p>
      <w:pPr>
        <w:spacing w:after="120"/>
        <w:jc w:val="both"/>
      </w:pPr>
      <w:r>
        <w:rPr>
          <w:rFonts w:ascii="Arial" w:cs="Arial" w:eastAsia="Arial" w:hAnsi="Arial"/>
          <w:sz w:val="24"/>
          <w:szCs w:val="24"/>
        </w:rPr>
        <w:t xml:space="preserve">БРН - базовый размер налога по объекту имущества 1 группы, исчисленный в соответствии с пунктами 2 и 3 настоящей части;</w:t>
      </w:r>
    </w:p>
    <w:p>
      <w:pPr>
        <w:spacing w:after="120"/>
        <w:jc w:val="both"/>
      </w:pPr>
      <w:r>
        <w:rPr>
          <w:rFonts w:ascii="Arial" w:cs="Arial" w:eastAsia="Arial" w:hAnsi="Arial"/>
          <w:sz w:val="24"/>
          <w:szCs w:val="24"/>
        </w:rPr>
        <w:t xml:space="preserve">Кр и Кз - коэффициенты, установленные в соответствии с настоящим Законом;</w:t>
      </w:r>
    </w:p>
    <w:p>
      <w:pPr>
        <w:spacing w:after="120"/>
        <w:jc w:val="both"/>
      </w:pPr>
      <w:r>
        <w:rPr>
          <w:rFonts w:ascii="Arial" w:cs="Arial" w:eastAsia="Arial" w:hAnsi="Arial"/>
          <w:sz w:val="24"/>
          <w:szCs w:val="24"/>
        </w:rPr>
        <w:t xml:space="preserve">2) базовый размер налога для городов Бишкек и Ош:</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Общая площадь квартиры</w:t>
      </w:r>
      <w:r>
        <w:rPr>
          <w:rFonts w:ascii="Arial" w:cs="Arial" w:eastAsia="Arial" w:hAnsi="Arial"/>
          <w:sz w:val="24"/>
          <w:szCs w:val="24"/>
        </w:rPr>
        <w:t xml:space="preserve">	</w:t>
      </w:r>
      <w:r>
        <w:rPr>
          <w:rFonts w:ascii="Arial" w:cs="Arial" w:eastAsia="Arial" w:hAnsi="Arial"/>
          <w:sz w:val="24"/>
          <w:szCs w:val="24"/>
        </w:rPr>
        <w:t xml:space="preserve">Общая площадь жилого дома, дачного дома, предназначенная для постоянного или временного проживания</w:t>
      </w:r>
    </w:p>
    <w:p>
      <w:pPr>
        <w:tabs>
          <w:tab w:val="right" w:pos="10178"/>
        </w:tabs>
        <w:spacing w:after="120"/>
      </w:pPr>
      <w:r>
        <w:rPr>
          <w:rFonts w:ascii="Arial" w:cs="Arial" w:eastAsia="Arial" w:hAnsi="Arial"/>
          <w:sz w:val="24"/>
          <w:szCs w:val="24"/>
        </w:rPr>
        <w:t xml:space="preserve">от 80,0 до 150,0 кв/м</w:t>
      </w:r>
      <w:r>
        <w:rPr>
          <w:rFonts w:ascii="Arial" w:cs="Arial" w:eastAsia="Arial" w:hAnsi="Arial"/>
          <w:sz w:val="24"/>
          <w:szCs w:val="24"/>
        </w:rPr>
        <w:t xml:space="preserve">	</w:t>
      </w:r>
      <w:r>
        <w:rPr>
          <w:rFonts w:ascii="Arial" w:cs="Arial" w:eastAsia="Arial" w:hAnsi="Arial"/>
          <w:sz w:val="24"/>
          <w:szCs w:val="24"/>
        </w:rPr>
        <w:t xml:space="preserve">свыше 200,0 кв/м  </w:t>
      </w:r>
    </w:p>
    <w:p>
      <w:pPr>
        <w:tabs>
          <w:tab w:val="right" w:pos="10178"/>
        </w:tabs>
        <w:spacing w:after="120"/>
      </w:pPr>
      <w:r>
        <w:rPr>
          <w:rFonts w:ascii="Arial" w:cs="Arial" w:eastAsia="Arial" w:hAnsi="Arial"/>
          <w:sz w:val="24"/>
          <w:szCs w:val="24"/>
        </w:rPr>
        <w:t xml:space="preserve">от 150,0 до 250,0 кв/м</w:t>
      </w:r>
      <w:r>
        <w:rPr>
          <w:rFonts w:ascii="Arial" w:cs="Arial" w:eastAsia="Arial" w:hAnsi="Arial"/>
          <w:sz w:val="24"/>
          <w:szCs w:val="24"/>
        </w:rPr>
        <w:t xml:space="preserve">	</w:t>
      </w:r>
      <w:r>
        <w:rPr>
          <w:rFonts w:ascii="Arial" w:cs="Arial" w:eastAsia="Arial" w:hAnsi="Arial"/>
          <w:sz w:val="24"/>
          <w:szCs w:val="24"/>
        </w:rPr>
        <w:t xml:space="preserve">свыше 450 кв/м</w:t>
      </w:r>
    </w:p>
    <w:p>
      <w:pPr>
        <w:tabs>
          <w:tab w:val="right" w:pos="10178"/>
        </w:tabs>
        <w:spacing w:after="120"/>
      </w:pPr>
      <w:r>
        <w:rPr>
          <w:rFonts w:ascii="Arial" w:cs="Arial" w:eastAsia="Arial" w:hAnsi="Arial"/>
          <w:sz w:val="24"/>
          <w:szCs w:val="24"/>
        </w:rPr>
        <w:t xml:space="preserve">Базовый размер налога</w:t>
      </w:r>
      <w:r>
        <w:rPr>
          <w:rFonts w:ascii="Arial" w:cs="Arial" w:eastAsia="Arial" w:hAnsi="Arial"/>
          <w:sz w:val="24"/>
          <w:szCs w:val="24"/>
        </w:rPr>
        <w:t xml:space="preserve">	</w:t>
      </w:r>
      <w:r>
        <w:rPr>
          <w:rFonts w:ascii="Arial" w:cs="Arial" w:eastAsia="Arial" w:hAnsi="Arial"/>
          <w:sz w:val="24"/>
          <w:szCs w:val="24"/>
        </w:rPr>
        <w:t xml:space="preserve">20000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базовый размер налога для районов и населенных пунктов, за исключением городов Бишкек и Ош:</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Общая площадь квартиры</w:t>
      </w:r>
      <w:r>
        <w:rPr>
          <w:rFonts w:ascii="Arial" w:cs="Arial" w:eastAsia="Arial" w:hAnsi="Arial"/>
          <w:sz w:val="24"/>
          <w:szCs w:val="24"/>
        </w:rPr>
        <w:t xml:space="preserve">	</w:t>
      </w:r>
      <w:r>
        <w:rPr>
          <w:rFonts w:ascii="Arial" w:cs="Arial" w:eastAsia="Arial" w:hAnsi="Arial"/>
          <w:sz w:val="24"/>
          <w:szCs w:val="24"/>
        </w:rPr>
        <w:t xml:space="preserve">Общая площадь жилого дома, дачного дома, предназначенная для постоянного или временного проживания</w:t>
      </w:r>
    </w:p>
    <w:p>
      <w:pPr>
        <w:tabs>
          <w:tab w:val="right" w:pos="10178"/>
        </w:tabs>
        <w:spacing w:after="120"/>
      </w:pPr>
      <w:r>
        <w:rPr>
          <w:rFonts w:ascii="Arial" w:cs="Arial" w:eastAsia="Arial" w:hAnsi="Arial"/>
          <w:sz w:val="24"/>
          <w:szCs w:val="24"/>
        </w:rPr>
        <w:t xml:space="preserve">от 150,0 до 250,0 кв/м</w:t>
      </w:r>
      <w:r>
        <w:rPr>
          <w:rFonts w:ascii="Arial" w:cs="Arial" w:eastAsia="Arial" w:hAnsi="Arial"/>
          <w:sz w:val="24"/>
          <w:szCs w:val="24"/>
        </w:rPr>
        <w:t xml:space="preserve">	</w:t>
      </w:r>
      <w:r>
        <w:rPr>
          <w:rFonts w:ascii="Arial" w:cs="Arial" w:eastAsia="Arial" w:hAnsi="Arial"/>
          <w:sz w:val="24"/>
          <w:szCs w:val="24"/>
        </w:rPr>
        <w:t xml:space="preserve">свыше 250,0 кв/м</w:t>
      </w:r>
    </w:p>
    <w:p>
      <w:pPr>
        <w:tabs>
          <w:tab w:val="right" w:pos="10178"/>
        </w:tabs>
        <w:spacing w:after="120"/>
      </w:pPr>
      <w:r>
        <w:rPr>
          <w:rFonts w:ascii="Arial" w:cs="Arial" w:eastAsia="Arial" w:hAnsi="Arial"/>
          <w:sz w:val="24"/>
          <w:szCs w:val="24"/>
        </w:rPr>
        <w:t xml:space="preserve">от 250,0 до 350,0 кв/м</w:t>
      </w:r>
      <w:r>
        <w:rPr>
          <w:rFonts w:ascii="Arial" w:cs="Arial" w:eastAsia="Arial" w:hAnsi="Arial"/>
          <w:sz w:val="24"/>
          <w:szCs w:val="24"/>
        </w:rPr>
        <w:t xml:space="preserve">	</w:t>
      </w:r>
      <w:r>
        <w:rPr>
          <w:rFonts w:ascii="Arial" w:cs="Arial" w:eastAsia="Arial" w:hAnsi="Arial"/>
          <w:sz w:val="24"/>
          <w:szCs w:val="24"/>
        </w:rPr>
        <w:t xml:space="preserve">свыше 450,0 кв/м</w:t>
      </w:r>
    </w:p>
    <w:p>
      <w:pPr>
        <w:tabs>
          <w:tab w:val="right" w:pos="10178"/>
        </w:tabs>
        <w:spacing w:after="120"/>
      </w:pPr>
      <w:r>
        <w:rPr>
          <w:rFonts w:ascii="Arial" w:cs="Arial" w:eastAsia="Arial" w:hAnsi="Arial"/>
          <w:sz w:val="24"/>
          <w:szCs w:val="24"/>
        </w:rPr>
        <w:t xml:space="preserve">Базовый размер налога</w:t>
      </w:r>
      <w:r>
        <w:rPr>
          <w:rFonts w:ascii="Arial" w:cs="Arial" w:eastAsia="Arial" w:hAnsi="Arial"/>
          <w:sz w:val="24"/>
          <w:szCs w:val="24"/>
        </w:rPr>
        <w:t xml:space="preserve">	</w:t>
      </w:r>
      <w:r>
        <w:rPr>
          <w:rFonts w:ascii="Arial" w:cs="Arial" w:eastAsia="Arial" w:hAnsi="Arial"/>
          <w:sz w:val="24"/>
          <w:szCs w:val="24"/>
        </w:rPr>
        <w:t xml:space="preserve">16000,0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исчислении налога на имущество в соответствии с настоящей статьей налоговые льготы по налогу на имущество для объектов имущества 1 группы, установленные статьей 1 настоящего Закона, не применяются, за исключением льгот, установленных пунктом 1 части 4 и частью 6 статьи 330 Налогового кодекса Кыргызской Республики.</w:t>
      </w:r>
    </w:p>
    <w:p>
      <w:pPr>
        <w:spacing w:after="120"/>
        <w:jc w:val="both"/>
      </w:pPr>
      <w:r>
        <w:rPr>
          <w:rFonts w:ascii="Arial" w:cs="Arial" w:eastAsia="Arial" w:hAnsi="Arial"/>
          <w:sz w:val="24"/>
          <w:szCs w:val="24"/>
        </w:rPr>
        <w:t xml:space="preserve">Статья 4. Правительству Кыргызской Республики до 1 января 2010 года привести свои решения в соответствии с настоящим Законом.</w:t>
      </w:r>
    </w:p>
    <w:p>
      <w:pPr>
        <w:spacing w:after="120"/>
        <w:jc w:val="both"/>
      </w:pPr>
      <w:r>
        <w:rPr>
          <w:rFonts w:ascii="Arial" w:cs="Arial" w:eastAsia="Arial" w:hAnsi="Arial"/>
          <w:sz w:val="24"/>
          <w:szCs w:val="24"/>
        </w:rPr>
        <w:t xml:space="preserve">Статья 5. Настоящий Закон вступает в силу с 1 января 2010 года, за исключением пунктов 5 и 6 статьи 1 настоящего Закона, которые вступают в силу с 1 января 2009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x3tcuuuffstsfcgskug">
      <w:r>
        <w:rPr>
          <w:rFonts w:ascii="Arial" w:cs="Arial" w:eastAsia="Arial" w:hAnsi="Arial"/>
          <w:color w:val="132D3F"/>
          <w:sz w:val="16"/>
          <w:szCs w:val="16"/>
          <w:u w:val="single"/>
        </w:rPr>
        <w:t xml:space="preserve">dalil.kg/document/90316</w:t>
      </w:r>
    </w:hyperlink>
  </w:p>
  <w:p>
    <w:pPr>
      <w:spacing w:after="0" w:before="40"/>
      <w:jc w:val="center"/>
    </w:pPr>
    <w:hyperlink w:history="1" r:id="rIdsiojoh3bh-a2wojsldn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dnlgysftcud47k0wmcm" Type="http://schemas.openxmlformats.org/officeDocument/2006/relationships/hyperlink" Target="https://dalil.kg/document/159126" TargetMode="External"/><Relationship Id="rIdw-qj_j4va-vg5akpjaweg" Type="http://schemas.openxmlformats.org/officeDocument/2006/relationships/hyperlink" Target="https://dalil.kg/document/1" TargetMode="External"/><Relationship Id="rIdvzddjq7faqbemkm9kiukt"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x3tcuuuffstsfcgskug" Type="http://schemas.openxmlformats.org/officeDocument/2006/relationships/hyperlink" Target="https://dalil.kg/document/90316" TargetMode="External"/><Relationship Id="rIdsiojoh3bh-a2wojsldn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2026-09-24T02:37:10.370Z</dcterms:created>
  <dcterms:modified xsi:type="dcterms:W3CDTF">2026-09-24T02:37:10.370Z</dcterms:modified>
</cp:coreProperties>
</file>

<file path=docProps/custom.xml><?xml version="1.0" encoding="utf-8"?>
<Properties xmlns="http://schemas.openxmlformats.org/officeDocument/2006/custom-properties" xmlns:vt="http://schemas.openxmlformats.org/officeDocument/2006/docPropsVTypes"/>
</file>