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pbhtdnftl3mi2_2n4nj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октября 2012 года № 716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февраля 2010 года № 95</w:t>
      </w:r>
    </w:p>
    <w:p>
      <w:pPr>
        <w:spacing w:after="120"/>
        <w:jc w:val="both"/>
      </w:pPr>
      <w:r>
        <w:rPr>
          <w:rFonts w:ascii="Arial" w:cs="Arial" w:eastAsia="Arial" w:hAnsi="Arial"/>
          <w:sz w:val="24"/>
          <w:szCs w:val="24"/>
        </w:rPr>
        <w:t xml:space="preserve">Об утверждении Положения о порядке формирования перечня физических и юридических лиц, в отношении которых имеются сведения об их участии в террористической или экстремистской деятельности (финансировании терроризма или экстремизма) и доведения его до сведения лиц, представляющих сведения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h_ffiowvbdveno3zceld">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go2arjl8xz6xav3ka69ud">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idylshu_fsmrpqw8k_b9_">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iqbjnzxfxz7tfup8osdls">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и "</w:t>
      </w:r>
      <w:hyperlink w:history="1" r:id="rIdy2s1dm-qkg_xjxeriow9m">
        <w:r>
          <w:rPr>
            <w:rFonts w:ascii="Arial" w:cs="Arial" w:eastAsia="Arial" w:hAnsi="Arial"/>
            <w:color w:val="1D4ED8"/>
            <w:sz w:val="24"/>
            <w:szCs w:val="24"/>
            <w:u w:val="single"/>
          </w:rPr>
          <w:t xml:space="preserve">О противодействии экстремистской деятельности</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xwvcifo920w2ks5wfdlg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перечня физических и юридических лиц, в отношении которых имеются сведения об их участии в террористической и/или экстремистской деятельности (финансировании терроризма или экстремизма) и доведения его до сведения лиц, представляющих сведения (далее - Положение).</w:t>
      </w:r>
    </w:p>
    <w:p>
      <w:pPr>
        <w:spacing w:after="120"/>
        <w:jc w:val="left"/>
      </w:pPr>
      <w:r>
        <w:rPr>
          <w:rFonts w:ascii="Arial" w:cs="Arial" w:eastAsia="Arial" w:hAnsi="Arial"/>
          <w:sz w:val="24"/>
          <w:szCs w:val="24"/>
        </w:rPr>
        <w:t xml:space="preserve">2. (Утратил силу в соответствии с постановлением Правительства КР от </w:t>
      </w:r>
      <w:hyperlink w:history="1" r:id="rIdu4opl6zkcu93pw_uwsz1_">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3. (Утратил силу в соответствии с постановлением Правительства КР от </w:t>
      </w:r>
      <w:hyperlink w:history="1" r:id="rIdmkqbfi2ycq8zppeuebpwv">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Настоящее постановление вступает в силу со дня подписания.</w:t>
      </w:r>
    </w:p>
    <w:p>
      <w:pPr>
        <w:spacing w:after="120"/>
        <w:jc w:val="left"/>
      </w:pPr>
      <w:r>
        <w:rPr>
          <w:rFonts w:ascii="Arial" w:cs="Arial" w:eastAsia="Arial" w:hAnsi="Arial"/>
          <w:sz w:val="24"/>
          <w:szCs w:val="24"/>
        </w:rPr>
        <w:t xml:space="preserve">5. (Утратил силу в соответствии с постановлением Правительства КР от </w:t>
      </w:r>
      <w:hyperlink w:history="1" r:id="rIdwxzgsrshmlp1qclqdwjvu">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janoqkwpd0fy4ktagsa5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2010 года №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формирования перечня физических и юридических лиц, в отношении которых имеются сведения об их участии в террористической и/или экстремистской деятельности (финансировании терроризма или экстремизма) и доведения его до сведения лиц, представляющих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ffp7aagg-uq6lyljj18a">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pekciyplpldv2i881qige">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формирования перечня физических и юридических лиц, в отношении которых имеются сведения об их участии в террористической и/или экстремистской деятельности (финансировании терроризма или экстремизма) и доведения его до сведения лиц, представляющих сведения (далее - Перечень).</w:t>
      </w:r>
    </w:p>
    <w:p>
      <w:pPr>
        <w:spacing w:after="120"/>
        <w:jc w:val="both"/>
      </w:pPr>
      <w:r>
        <w:rPr>
          <w:rFonts w:ascii="Arial" w:cs="Arial" w:eastAsia="Arial" w:hAnsi="Arial"/>
          <w:sz w:val="24"/>
          <w:szCs w:val="24"/>
        </w:rPr>
        <w:t xml:space="preserve">2. Для целей настоящего Положения используются следующие основные понятия:</w:t>
      </w:r>
    </w:p>
    <w:p>
      <w:pPr>
        <w:spacing w:after="120"/>
        <w:jc w:val="both"/>
      </w:pPr>
      <w:r>
        <w:rPr>
          <w:rFonts w:ascii="Arial" w:cs="Arial" w:eastAsia="Arial" w:hAnsi="Arial"/>
          <w:sz w:val="24"/>
          <w:szCs w:val="24"/>
        </w:rPr>
        <w:t xml:space="preserve">лица, представляющие сведения - понимается в том значении, которое указано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террористическая деятельность - понимается в том значении, которое указано в статье 1 Закона Кыргызской Республики "О противодействии терроризму";</w:t>
      </w:r>
    </w:p>
    <w:p>
      <w:pPr>
        <w:spacing w:after="120"/>
        <w:jc w:val="both"/>
      </w:pPr>
      <w:r>
        <w:rPr>
          <w:rFonts w:ascii="Arial" w:cs="Arial" w:eastAsia="Arial" w:hAnsi="Arial"/>
          <w:sz w:val="24"/>
          <w:szCs w:val="24"/>
        </w:rPr>
        <w:t xml:space="preserve">экстремистская деятельность - понимается в том значении, которое указано в статье 1 Закона Кыргызской Республики "О противодействии экстремистской деятельности";</w:t>
      </w:r>
    </w:p>
    <w:p>
      <w:pPr>
        <w:spacing w:after="120"/>
        <w:jc w:val="both"/>
      </w:pPr>
      <w:r>
        <w:rPr>
          <w:rFonts w:ascii="Arial" w:cs="Arial" w:eastAsia="Arial" w:hAnsi="Arial"/>
          <w:sz w:val="24"/>
          <w:szCs w:val="24"/>
        </w:rPr>
        <w:t xml:space="preserve">обязательный контроль - понимается в том значении, которое указано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При наличии оснований, предусмотренных пунктом 4 настоящего Положения, уполномоченные государственные органы, ведающие вопросами внутренних дел, национальной безопасности, иностранных дел Кыргызской Республики, Генеральная прокуратура Кыргызской Республики (по согласованию) и Верховный суд Кыргызской Республики (по согласованию) направляют соответствующие сведения по установленной форме (в том числе в электронном виде) не позднее трех рабочих дней со дня получения информации о возникновении оснований для включения в перечень, с приложением копий подтверждающих документов, в уполномоченный государственный орган по противодействию финансированию терроризма (экстремизма) и легализации (отмыванию) доходов, полученных преступным путем, (далее - Финансовая разведка) нарочным или почтовым отправлением.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tnbz-qpage4tlbr7e4jhb">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w21x8hpy-edaztflgnhnv">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 соответствии с законодательством Кыргызской Республики основаниями для формирования Перечня и внесения в него изменений и дополнений являются следующие сведения:</w:t>
      </w:r>
    </w:p>
    <w:p>
      <w:pPr>
        <w:spacing w:after="120"/>
        <w:jc w:val="both"/>
      </w:pPr>
      <w:r>
        <w:rPr>
          <w:rFonts w:ascii="Arial" w:cs="Arial" w:eastAsia="Arial" w:hAnsi="Arial"/>
          <w:sz w:val="24"/>
          <w:szCs w:val="24"/>
        </w:rPr>
        <w:t xml:space="preserve">а) вступившие в законную силу приговоры судов Кыргызской Республики о признании физического лица виновным в совершении преступления террористического или экстремистского характера, а также об отмене (изменении) этих приговоров;</w:t>
      </w:r>
    </w:p>
    <w:p>
      <w:pPr>
        <w:spacing w:after="120"/>
        <w:jc w:val="both"/>
      </w:pPr>
      <w:r>
        <w:rPr>
          <w:rFonts w:ascii="Arial" w:cs="Arial" w:eastAsia="Arial" w:hAnsi="Arial"/>
          <w:sz w:val="24"/>
          <w:szCs w:val="24"/>
        </w:rPr>
        <w:t xml:space="preserve">б) вступившие в законную силу решения судов Кыргызской Республики о признании и ликвидации или запрете деятельности юридического лица в связи с осуществлением им террористической или экстремистской деятельности, а также об отмене (изменении) этих решений;</w:t>
      </w:r>
    </w:p>
    <w:p>
      <w:pPr>
        <w:spacing w:after="120"/>
        <w:jc w:val="both"/>
      </w:pPr>
      <w:r>
        <w:rPr>
          <w:rFonts w:ascii="Arial" w:cs="Arial" w:eastAsia="Arial" w:hAnsi="Arial"/>
          <w:sz w:val="24"/>
          <w:szCs w:val="24"/>
        </w:rPr>
        <w:t xml:space="preserve">в) признанные в установленном порядке Кыргызской Республикой перечни физических и юридических лиц, связанные с террористическими или экстремистскими организациями или террористами (экстремистами), составленные международными организациями, участвующими в борьбе с терроризмом (экстремизмом), или уполномоченными ими органами, а также об отмене (изменении) этих перечней;</w:t>
      </w:r>
    </w:p>
    <w:p>
      <w:pPr>
        <w:spacing w:after="120"/>
        <w:jc w:val="both"/>
      </w:pPr>
      <w:r>
        <w:rPr>
          <w:rFonts w:ascii="Arial" w:cs="Arial" w:eastAsia="Arial" w:hAnsi="Arial"/>
          <w:sz w:val="24"/>
          <w:szCs w:val="24"/>
        </w:rPr>
        <w:t xml:space="preserve">г) признанные в установленном порядке Кыргызской Республикой приговоры (решения) иностранных судов, иных компетентных органов иностранных государств относительно физических и юридических лиц, связанных с террористической или экстремистской деятельностью, а также об отмене (изменении) этих приговоров (решений);</w:t>
      </w:r>
    </w:p>
    <w:p>
      <w:pPr>
        <w:spacing w:after="120"/>
        <w:jc w:val="both"/>
      </w:pPr>
      <w:r>
        <w:rPr>
          <w:rFonts w:ascii="Arial" w:cs="Arial" w:eastAsia="Arial" w:hAnsi="Arial"/>
          <w:sz w:val="24"/>
          <w:szCs w:val="24"/>
        </w:rPr>
        <w:t xml:space="preserve">д) принятые Генеральным прокурором Кыргызской Республики или подчиненными ему прокурорами решения о приостановлении деятельности физического или юридического лица, в связи с их обращениями в суд с заявлением о привлечении этого физического или юридического лица к ответственности за террористическую или экстремистскую деятельность, а также об утрате сил этих решений;</w:t>
      </w:r>
    </w:p>
    <w:p>
      <w:pPr>
        <w:spacing w:after="120"/>
        <w:jc w:val="both"/>
      </w:pPr>
      <w:r>
        <w:rPr>
          <w:rFonts w:ascii="Arial" w:cs="Arial" w:eastAsia="Arial" w:hAnsi="Arial"/>
          <w:sz w:val="24"/>
          <w:szCs w:val="24"/>
        </w:rPr>
        <w:t xml:space="preserve">е) представленные компетентными уполномоченными органами зарубежного государства или международными организациями официальные запросы, подтверждающие причастность физического или юридического лица к террористической или экстремистской деятельности и полученные в соответствии с международными договорами Кыргызской Республики или на принципах взаимности в рамках взаимной правовой помощи;</w:t>
      </w:r>
    </w:p>
    <w:p>
      <w:pPr>
        <w:spacing w:after="120"/>
        <w:jc w:val="both"/>
      </w:pPr>
      <w:r>
        <w:rPr>
          <w:rFonts w:ascii="Arial" w:cs="Arial" w:eastAsia="Arial" w:hAnsi="Arial"/>
          <w:sz w:val="24"/>
          <w:szCs w:val="24"/>
        </w:rPr>
        <w:t xml:space="preserve">ж) вынесенные следователями или прокурорами постановления о привлечении в качестве обвиняемых лиц, совершивших преступления террористического или экстремистского характера, а также о прекращении этих уголовных дел.</w:t>
      </w:r>
    </w:p>
    <w:p>
      <w:pPr>
        <w:spacing w:after="120"/>
        <w:jc w:val="both"/>
      </w:pPr>
      <w:r>
        <w:rPr>
          <w:rFonts w:ascii="Arial" w:cs="Arial" w:eastAsia="Arial" w:hAnsi="Arial"/>
          <w:sz w:val="24"/>
          <w:szCs w:val="24"/>
        </w:rPr>
        <w:t xml:space="preserve">5. Сведения, послужившие основанием для включения физического и юридического лица в Перечень, являются информацией для служебного пользования и подлежат учету, хранению и передаче в установленном порядке.</w:t>
      </w:r>
    </w:p>
    <w:p>
      <w:pPr>
        <w:spacing w:after="120"/>
        <w:jc w:val="both"/>
      </w:pPr>
      <w:r>
        <w:rPr>
          <w:rFonts w:ascii="Arial" w:cs="Arial" w:eastAsia="Arial" w:hAnsi="Arial"/>
          <w:sz w:val="24"/>
          <w:szCs w:val="24"/>
        </w:rPr>
        <w:t xml:space="preserve">Сведения, послужившие основанием для включения физического и юридического лица в Перечень и содержащие секретные сведения, подлежат учету, хранению и передаче согласно Инструкции по обеспечению режима секретности.</w:t>
      </w:r>
    </w:p>
    <w:p>
      <w:pPr>
        <w:spacing w:after="120"/>
        <w:jc w:val="both"/>
      </w:pPr>
      <w:r>
        <w:rPr>
          <w:rFonts w:ascii="Arial" w:cs="Arial" w:eastAsia="Arial" w:hAnsi="Arial"/>
          <w:sz w:val="24"/>
          <w:szCs w:val="24"/>
        </w:rPr>
        <w:t xml:space="preserve">6. Для идентификации физических и юридических лиц, кроме сведений, послуживших основанием для включения в Перечень, в Финансовую разведку должна быть представлена следующая информация (если имеется):</w:t>
      </w:r>
    </w:p>
    <w:p>
      <w:pPr>
        <w:spacing w:after="120"/>
        <w:jc w:val="both"/>
      </w:pPr>
      <w:r>
        <w:rPr>
          <w:rFonts w:ascii="Arial" w:cs="Arial" w:eastAsia="Arial" w:hAnsi="Arial"/>
          <w:sz w:val="24"/>
          <w:szCs w:val="24"/>
        </w:rPr>
        <w:t xml:space="preserve">для физического лица - фамилия, имя, отчество (если иное не вытекает из закона или национального обычая), дата и место рождения, гражданство, национальность, данные удостоверения личности (паспорта) и документа, подтверждающего право иностранного гражданина или лица без гражданства на пребывание (проживание), адрес места жительства (регистрации) или места пребывания, идентификационный номер налогоплательщика (при его наличии) или номер удостоверения социальной защиты, место работы и занимаемая должность, в случае, если физическое лицо осуществляет предпринимательскую деятельность без образования юридического лица дополнительно представляются регистрационный номер и дата регистрации в качестве индивидуального предпринимателя и вид деятельности;</w:t>
      </w:r>
    </w:p>
    <w:p>
      <w:pPr>
        <w:spacing w:after="120"/>
        <w:jc w:val="both"/>
      </w:pPr>
      <w:r>
        <w:rPr>
          <w:rFonts w:ascii="Arial" w:cs="Arial" w:eastAsia="Arial" w:hAnsi="Arial"/>
          <w:sz w:val="24"/>
          <w:szCs w:val="24"/>
        </w:rPr>
        <w:t xml:space="preserve">для юридического лица - наименование, организационно-правовая форма, государственный регистрационный номер или регистрационный номер иностранного юридического лица, место государственной регистрации и адрес местонахождения, идентификационный номер налогоплательщика или код иностранной организации, сведения о должностных лицах, данные об учредителях и иные данные, относящиеся к уставным документам, регулирующим деятельность юридического лица.</w:t>
      </w:r>
    </w:p>
    <w:p>
      <w:pPr>
        <w:spacing w:after="120"/>
        <w:jc w:val="both"/>
      </w:pPr>
      <w:r>
        <w:rPr>
          <w:rFonts w:ascii="Arial" w:cs="Arial" w:eastAsia="Arial" w:hAnsi="Arial"/>
          <w:sz w:val="24"/>
          <w:szCs w:val="24"/>
        </w:rPr>
        <w:t xml:space="preserve">В случае, если лицо уже включено в соответствующий перечень иностранных государств и международных организаций, участвующих в борьбе с терроризмом и экстремизмом, или уполномоченных ими органов, также предоставляются сведения о дате включения в данный перечень.</w:t>
      </w:r>
    </w:p>
    <w:p>
      <w:pPr>
        <w:spacing w:after="120"/>
        <w:jc w:val="both"/>
      </w:pPr>
      <w:r>
        <w:rPr>
          <w:rFonts w:ascii="Arial" w:cs="Arial" w:eastAsia="Arial" w:hAnsi="Arial"/>
          <w:sz w:val="24"/>
          <w:szCs w:val="24"/>
        </w:rPr>
        <w:t xml:space="preserve">7. В случае неполного или неточного представления государственными органами Кыргызской Республики сведений, Финансовая разведка вправе в установленном порядке дополнительно запросить необходимую информацию. Срок исполнения государственными органами Кыргызской Республики данного запроса не должен превышать пяти рабочих дней, за исключением случаев обращения за дополнительной информацией в иностранные государства и международные организации, участвующие в борьбе с терроризмом и экстремизмом, или уполномоченные ими органы.</w:t>
      </w:r>
    </w:p>
    <w:p>
      <w:pPr>
        <w:spacing w:after="120"/>
        <w:jc w:val="both"/>
      </w:pPr>
      <w:r>
        <w:rPr>
          <w:rFonts w:ascii="Arial" w:cs="Arial" w:eastAsia="Arial" w:hAnsi="Arial"/>
          <w:sz w:val="24"/>
          <w:szCs w:val="24"/>
        </w:rPr>
        <w:t xml:space="preserve">8. Перечень должен состоять из трех разделов:</w:t>
      </w:r>
    </w:p>
    <w:p>
      <w:pPr>
        <w:spacing w:after="120"/>
        <w:jc w:val="both"/>
      </w:pPr>
      <w:r>
        <w:rPr>
          <w:rFonts w:ascii="Arial" w:cs="Arial" w:eastAsia="Arial" w:hAnsi="Arial"/>
          <w:sz w:val="24"/>
          <w:szCs w:val="24"/>
        </w:rPr>
        <w:t xml:space="preserve">1) Национальный перечень;</w:t>
      </w:r>
    </w:p>
    <w:p>
      <w:pPr>
        <w:spacing w:after="120"/>
        <w:jc w:val="both"/>
      </w:pPr>
      <w:r>
        <w:rPr>
          <w:rFonts w:ascii="Arial" w:cs="Arial" w:eastAsia="Arial" w:hAnsi="Arial"/>
          <w:sz w:val="24"/>
          <w:szCs w:val="24"/>
        </w:rPr>
        <w:t xml:space="preserve">2) Международный перечень;</w:t>
      </w:r>
    </w:p>
    <w:p>
      <w:pPr>
        <w:spacing w:after="120"/>
        <w:jc w:val="both"/>
      </w:pPr>
      <w:r>
        <w:rPr>
          <w:rFonts w:ascii="Arial" w:cs="Arial" w:eastAsia="Arial" w:hAnsi="Arial"/>
          <w:sz w:val="24"/>
          <w:szCs w:val="24"/>
        </w:rPr>
        <w:t xml:space="preserve">3) Перечень лиц, отбывших наказание за совершение преступления террористического и/или экстремистского характера.</w:t>
      </w:r>
    </w:p>
    <w:p>
      <w:pPr>
        <w:spacing w:after="120"/>
        <w:jc w:val="both"/>
      </w:pPr>
      <w:r>
        <w:rPr>
          <w:rFonts w:ascii="Arial" w:cs="Arial" w:eastAsia="Arial" w:hAnsi="Arial"/>
          <w:sz w:val="24"/>
          <w:szCs w:val="24"/>
        </w:rPr>
        <w:t xml:space="preserve">Каждый раздел должен подразделяться на следующие главы:</w:t>
      </w:r>
    </w:p>
    <w:p>
      <w:pPr>
        <w:spacing w:after="120"/>
        <w:jc w:val="both"/>
      </w:pPr>
      <w:r>
        <w:rPr>
          <w:rFonts w:ascii="Arial" w:cs="Arial" w:eastAsia="Arial" w:hAnsi="Arial"/>
          <w:sz w:val="24"/>
          <w:szCs w:val="24"/>
        </w:rPr>
        <w:t xml:space="preserve">- Перечень лиц, в отношении которых имеются сведения об их участии в террористической деятельности;</w:t>
      </w:r>
    </w:p>
    <w:p>
      <w:pPr>
        <w:spacing w:after="120"/>
        <w:jc w:val="both"/>
      </w:pPr>
      <w:r>
        <w:rPr>
          <w:rFonts w:ascii="Arial" w:cs="Arial" w:eastAsia="Arial" w:hAnsi="Arial"/>
          <w:sz w:val="24"/>
          <w:szCs w:val="24"/>
        </w:rPr>
        <w:t xml:space="preserve">- Перечень лиц, в отношении которых имеются сведения об их участии в экстремистской деятельности.</w:t>
      </w:r>
    </w:p>
    <w:p>
      <w:pPr>
        <w:spacing w:after="120"/>
        <w:jc w:val="both"/>
      </w:pPr>
      <w:r>
        <w:rPr>
          <w:rFonts w:ascii="Arial" w:cs="Arial" w:eastAsia="Arial" w:hAnsi="Arial"/>
          <w:sz w:val="24"/>
          <w:szCs w:val="24"/>
        </w:rPr>
        <w:t xml:space="preserve">Каждая глава должна подразделяться на следующие пункты:</w:t>
      </w:r>
    </w:p>
    <w:p>
      <w:pPr>
        <w:spacing w:after="120"/>
        <w:jc w:val="both"/>
      </w:pPr>
      <w:r>
        <w:rPr>
          <w:rFonts w:ascii="Arial" w:cs="Arial" w:eastAsia="Arial" w:hAnsi="Arial"/>
          <w:sz w:val="24"/>
          <w:szCs w:val="24"/>
        </w:rPr>
        <w:t xml:space="preserve">- физические лица;</w:t>
      </w:r>
    </w:p>
    <w:p>
      <w:pPr>
        <w:spacing w:after="120"/>
        <w:jc w:val="both"/>
      </w:pPr>
      <w:r>
        <w:rPr>
          <w:rFonts w:ascii="Arial" w:cs="Arial" w:eastAsia="Arial" w:hAnsi="Arial"/>
          <w:sz w:val="24"/>
          <w:szCs w:val="24"/>
        </w:rPr>
        <w:t xml:space="preserve">- юридические лица.</w:t>
      </w:r>
    </w:p>
    <w:p>
      <w:pPr>
        <w:spacing w:after="120"/>
        <w:jc w:val="both"/>
      </w:pPr>
      <w:r>
        <w:rPr>
          <w:rFonts w:ascii="Arial" w:cs="Arial" w:eastAsia="Arial" w:hAnsi="Arial"/>
          <w:sz w:val="24"/>
          <w:szCs w:val="24"/>
        </w:rPr>
        <w:t xml:space="preserve">Перечень в виде электронной базы данных размещается и публикуется на официальном сайте Финансовой разведки.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vh2u1gmyfw00yujssmuv">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Перечень вносятся изменения и дополнения Финансовой разведкой не позднее трех рабочих дней с даты поступления сведений из государственных органов Кыргызской Республики, указанных в пункте 3 настоящего Положения.</w:t>
      </w:r>
    </w:p>
    <w:p>
      <w:pPr>
        <w:spacing w:after="120"/>
        <w:jc w:val="both"/>
      </w:pPr>
      <w:r>
        <w:rPr>
          <w:rFonts w:ascii="Arial" w:cs="Arial" w:eastAsia="Arial" w:hAnsi="Arial"/>
          <w:sz w:val="24"/>
          <w:szCs w:val="24"/>
        </w:rPr>
        <w:t xml:space="preserve">10. Перечень, а также вносимые в него изменения и дополнения направляются в установленном порядке Финансовой разведкой не позднее рабочего дня, следующего за днем утверждения (внесения поправок), в виде информационных писем для сведения лицам, представляющим сведения.</w:t>
      </w:r>
    </w:p>
    <w:p>
      <w:pPr>
        <w:spacing w:after="120"/>
        <w:jc w:val="both"/>
      </w:pPr>
      <w:r>
        <w:rPr>
          <w:rFonts w:ascii="Arial" w:cs="Arial" w:eastAsia="Arial" w:hAnsi="Arial"/>
          <w:sz w:val="24"/>
          <w:szCs w:val="24"/>
        </w:rPr>
        <w:t xml:space="preserve">11. Исключение физического или юридического лица из Перечня осуществляется в случае прекращения действия обстоятельств, послуживших основанием для включения их в Перечень и на основании информации государственных органов Кыргызской Республики, предусмотренной в пункте 3 настоящего Положения.</w:t>
      </w:r>
    </w:p>
    <w:p>
      <w:pPr>
        <w:spacing w:after="120"/>
        <w:jc w:val="both"/>
      </w:pPr>
      <w:r>
        <w:rPr>
          <w:rFonts w:ascii="Arial" w:cs="Arial" w:eastAsia="Arial" w:hAnsi="Arial"/>
          <w:sz w:val="24"/>
          <w:szCs w:val="24"/>
        </w:rPr>
        <w:t xml:space="preserve">Дополнительным основанием для исключения физического лица из Перечня является смерть лица, причастного к совершению террористической и/или экстремистской деятельности, которая подтверждается в установленном законодательством порядке.</w:t>
      </w:r>
    </w:p>
    <w:p>
      <w:pPr>
        <w:spacing w:after="120"/>
        <w:jc w:val="both"/>
      </w:pPr>
      <w:r>
        <w:rPr>
          <w:rFonts w:ascii="Arial" w:cs="Arial" w:eastAsia="Arial" w:hAnsi="Arial"/>
          <w:sz w:val="24"/>
          <w:szCs w:val="24"/>
        </w:rPr>
        <w:t xml:space="preserve">12. Операции (сделки) с денежными средствами или другим имуществом, совершаемые лицом, отбывшим наказание за совершение преступления террористического и/или экстремистского характера, до погашения судимости в порядке, установленном Уголовным </w:t>
      </w:r>
      <w:hyperlink w:history="1" r:id="rId-e8b4_6pzey6_as0hpjw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подлежат обязательному контролю со стороны Финансовой разведки, с целью проверки на предмет возможного выявления и предупреждения террористической и/или экстремистской деятельности.</w:t>
      </w:r>
    </w:p>
    <w:p>
      <w:pPr>
        <w:spacing w:after="120"/>
        <w:jc w:val="both"/>
      </w:pPr>
      <w:r>
        <w:rPr>
          <w:rFonts w:ascii="Arial" w:cs="Arial" w:eastAsia="Arial" w:hAnsi="Arial"/>
          <w:sz w:val="24"/>
          <w:szCs w:val="24"/>
        </w:rPr>
        <w:t xml:space="preserve">13. Решение о включении физического и юридического лица в Перечень может быть обжаловано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99oyy8qcxm_omxv2ngzc">
      <w:r>
        <w:rPr>
          <w:rFonts w:ascii="Arial" w:cs="Arial" w:eastAsia="Arial" w:hAnsi="Arial"/>
          <w:color w:val="132D3F"/>
          <w:sz w:val="16"/>
          <w:szCs w:val="16"/>
          <w:u w:val="single"/>
        </w:rPr>
        <w:t xml:space="preserve">dalil.kg/document/92050</w:t>
      </w:r>
    </w:hyperlink>
  </w:p>
  <w:p>
    <w:pPr>
      <w:spacing w:after="0" w:before="40"/>
      <w:jc w:val="center"/>
    </w:pPr>
    <w:hyperlink w:history="1" r:id="rIdxbhriqwvuo35najbbpb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bhtdnftl3mi2_2n4njp" Type="http://schemas.openxmlformats.org/officeDocument/2006/relationships/hyperlink" Target="https://dalil.kg/document/93137" TargetMode="External"/><Relationship Id="rIdph_ffiowvbdveno3zceld" Type="http://schemas.openxmlformats.org/officeDocument/2006/relationships/hyperlink" Target="https://dalil.kg/document/93387" TargetMode="External"/><Relationship Id="rIdgo2arjl8xz6xav3ka69ud" Type="http://schemas.openxmlformats.org/officeDocument/2006/relationships/hyperlink" Target="https://dalil.kg/document/93849" TargetMode="External"/><Relationship Id="rIdidylshu_fsmrpqw8k_b9_" Type="http://schemas.openxmlformats.org/officeDocument/2006/relationships/hyperlink" Target="https://dalil.kg/document/1926" TargetMode="External"/><Relationship Id="rIdiqbjnzxfxz7tfup8osdls" Type="http://schemas.openxmlformats.org/officeDocument/2006/relationships/hyperlink" Target="https://dalil.kg/document/1971" TargetMode="External"/><Relationship Id="rIdy2s1dm-qkg_xjxeriow9m" Type="http://schemas.openxmlformats.org/officeDocument/2006/relationships/hyperlink" Target="https://dalil.kg/document/1748" TargetMode="External"/><Relationship Id="rIdxwvcifo920w2ks5wfdlgi" Type="http://schemas.openxmlformats.org/officeDocument/2006/relationships/hyperlink" Target="https://dalil.kg/document/92050#p1" TargetMode="External"/><Relationship Id="rIdu4opl6zkcu93pw_uwsz1_" Type="http://schemas.openxmlformats.org/officeDocument/2006/relationships/hyperlink" Target="https://dalil.kg/document/93849" TargetMode="External"/><Relationship Id="rIdmkqbfi2ycq8zppeuebpwv" Type="http://schemas.openxmlformats.org/officeDocument/2006/relationships/hyperlink" Target="https://dalil.kg/document/93849" TargetMode="External"/><Relationship Id="rIdwxzgsrshmlp1qclqdwjvu" Type="http://schemas.openxmlformats.org/officeDocument/2006/relationships/hyperlink" Target="https://dalil.kg/document/93849" TargetMode="External"/><Relationship Id="rIdjanoqkwpd0fy4ktagsa5k" Type="http://schemas.openxmlformats.org/officeDocument/2006/relationships/hyperlink" Target="https://dalil.kg/document/92050" TargetMode="External"/><Relationship Id="rIdlffp7aagg-uq6lyljj18a" Type="http://schemas.openxmlformats.org/officeDocument/2006/relationships/hyperlink" Target="https://dalil.kg/document/93387" TargetMode="External"/><Relationship Id="rIdpekciyplpldv2i881qige" Type="http://schemas.openxmlformats.org/officeDocument/2006/relationships/hyperlink" Target="https://dalil.kg/document/93849" TargetMode="External"/><Relationship Id="rIdtnbz-qpage4tlbr7e4jhb" Type="http://schemas.openxmlformats.org/officeDocument/2006/relationships/hyperlink" Target="https://dalil.kg/document/93387" TargetMode="External"/><Relationship Id="rIdw21x8hpy-edaztflgnhnv" Type="http://schemas.openxmlformats.org/officeDocument/2006/relationships/hyperlink" Target="https://dalil.kg/document/93849" TargetMode="External"/><Relationship Id="rIdgvh2u1gmyfw00yujssmuv" Type="http://schemas.openxmlformats.org/officeDocument/2006/relationships/hyperlink" Target="https://dalil.kg/document/93849" TargetMode="External"/><Relationship Id="rId-e8b4_6pzey6_as0hpjwi"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99oyy8qcxm_omxv2ngzc" Type="http://schemas.openxmlformats.org/officeDocument/2006/relationships/hyperlink" Target="https://dalil.kg/document/92050" TargetMode="External"/><Relationship Id="rIdxbhriqwvuo35najbbpb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2026-09-24T03:43:42.931Z</dcterms:created>
  <dcterms:modified xsi:type="dcterms:W3CDTF">2026-09-24T03:43:42.931Z</dcterms:modified>
</cp:coreProperties>
</file>

<file path=docProps/custom.xml><?xml version="1.0" encoding="utf-8"?>
<Properties xmlns="http://schemas.openxmlformats.org/officeDocument/2006/custom-properties" xmlns:vt="http://schemas.openxmlformats.org/officeDocument/2006/docPropsVTypes"/>
</file>