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erjewfgbv9o3jrdvjb32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декабря 2018 года № 606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5 марта 2010 года № 135</w:t>
      </w:r>
    </w:p>
    <w:p>
      <w:pPr>
        <w:spacing w:after="120"/>
        <w:jc w:val="both"/>
      </w:pPr>
      <w:r>
        <w:rPr>
          <w:rFonts w:ascii="Arial" w:cs="Arial" w:eastAsia="Arial" w:hAnsi="Arial"/>
          <w:sz w:val="24"/>
          <w:szCs w:val="24"/>
        </w:rPr>
        <w:t xml:space="preserve">О мерах по реализации Закона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qdbpcf_urcb4yz2u1oo8x">
        <w:r>
          <w:rPr>
            <w:rFonts w:ascii="Arial" w:cs="Arial" w:eastAsia="Arial" w:hAnsi="Arial"/>
            <w:color w:val="1D4ED8"/>
            <w:sz w:val="24"/>
            <w:szCs w:val="24"/>
            <w:u w:val="single"/>
          </w:rPr>
          <w:t xml:space="preserve">28 мая 2012 года № 324</w:t>
        </w:r>
      </w:hyperlink>
      <w:r>
        <w:rPr>
          <w:rFonts w:ascii="Arial" w:cs="Arial" w:eastAsia="Arial" w:hAnsi="Arial"/>
          <w:sz w:val="24"/>
          <w:szCs w:val="24"/>
        </w:rPr>
        <w:t xml:space="preserve">, </w:t>
      </w:r>
      <w:hyperlink w:history="1" r:id="rIdaf0pfw4tvvhjn-nhx3wyp">
        <w:r>
          <w:rPr>
            <w:rFonts w:ascii="Arial" w:cs="Arial" w:eastAsia="Arial" w:hAnsi="Arial"/>
            <w:color w:val="1D4ED8"/>
            <w:sz w:val="24"/>
            <w:szCs w:val="24"/>
            <w:u w:val="single"/>
          </w:rPr>
          <w:t xml:space="preserve">12 октября 2012 года № 716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целях эффективного исполнения </w:t>
      </w:r>
      <w:hyperlink w:history="1" r:id="rId2ysrbcovkwfw7gk_-kkx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терроризма и легализации (отмыванию) доходов, полученных преступным путем"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3_sfxgjubyi84kk_9jhfg">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общих требованиях к правилам внутреннего контроля по противодействию финансированию терроризма (экстремизма)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 </w:t>
      </w:r>
      <w:hyperlink w:history="1" r:id="rId_otbkrcu69rvgogiunpz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идентификации и верификации клиента и бенефициарного собственника (выгодоприобретателя) в целях противодействия финансированию терроризма (экстремизма)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 </w:t>
      </w:r>
      <w:hyperlink w:history="1" r:id="rIdfquqonca_kkell3nefrxj">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предоставления Государственной службе финансовой разведки при Правительстве Кыргызской Республики информации и документов государственными органами Кыргызской Республики и лицами, представляющими сведения;</w:t>
      </w:r>
    </w:p>
    <w:p>
      <w:pPr>
        <w:spacing w:after="120"/>
        <w:jc w:val="both"/>
      </w:pPr>
      <w:r>
        <w:rPr>
          <w:rFonts w:ascii="Arial" w:cs="Arial" w:eastAsia="Arial" w:hAnsi="Arial"/>
          <w:sz w:val="24"/>
          <w:szCs w:val="24"/>
        </w:rPr>
        <w:t xml:space="preserve">- </w:t>
      </w:r>
      <w:hyperlink w:history="1" r:id="rIdgutryx_yha5hcnyywvumx">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предоставлении и рассмотрении обобщенного материала;</w:t>
      </w:r>
    </w:p>
    <w:p>
      <w:pPr>
        <w:spacing w:after="120"/>
        <w:jc w:val="both"/>
      </w:pPr>
      <w:r>
        <w:rPr>
          <w:rFonts w:ascii="Arial" w:cs="Arial" w:eastAsia="Arial" w:hAnsi="Arial"/>
          <w:sz w:val="24"/>
          <w:szCs w:val="24"/>
        </w:rPr>
        <w:t xml:space="preserve">- </w:t>
      </w:r>
      <w:hyperlink w:history="1" r:id="rIdgch4wwojch7_eixzijtn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приостановления операций (сделок), замораживания и размораживания средств;</w:t>
      </w:r>
    </w:p>
    <w:p>
      <w:pPr>
        <w:spacing w:after="120"/>
        <w:jc w:val="both"/>
      </w:pPr>
      <w:r>
        <w:rPr>
          <w:rFonts w:ascii="Arial" w:cs="Arial" w:eastAsia="Arial" w:hAnsi="Arial"/>
          <w:sz w:val="24"/>
          <w:szCs w:val="24"/>
        </w:rPr>
        <w:t xml:space="preserve">- </w:t>
      </w:r>
      <w:hyperlink w:history="1" r:id="rIdnq5i8ze-82ni_apxrheah">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подготовки и переподготовки кадров по вопросам противодействия финансированию терроризма (экстремизма)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w:t>
      </w:r>
      <w:hyperlink w:history="1" r:id="rIdrwjp4kami4glzbstahiew">
        <w:r>
          <w:rPr>
            <w:rFonts w:ascii="Arial" w:cs="Arial" w:eastAsia="Arial" w:hAnsi="Arial"/>
            <w:color w:val="1D4ED8"/>
            <w:sz w:val="24"/>
            <w:szCs w:val="24"/>
            <w:u w:val="single"/>
          </w:rPr>
          <w:t xml:space="preserve"> Положение</w:t>
        </w:r>
      </w:hyperlink>
      <w:r>
        <w:rPr>
          <w:rFonts w:ascii="Arial" w:cs="Arial" w:eastAsia="Arial" w:hAnsi="Arial"/>
          <w:sz w:val="24"/>
          <w:szCs w:val="24"/>
        </w:rPr>
        <w:t xml:space="preserve"> о перечне надзорных органов и об их полномочиях;</w:t>
      </w:r>
    </w:p>
    <w:p>
      <w:pPr>
        <w:spacing w:after="120"/>
        <w:jc w:val="both"/>
      </w:pPr>
      <w:r>
        <w:rPr>
          <w:rFonts w:ascii="Arial" w:cs="Arial" w:eastAsia="Arial" w:hAnsi="Arial"/>
          <w:sz w:val="24"/>
          <w:szCs w:val="24"/>
        </w:rPr>
        <w:t xml:space="preserve">- </w:t>
      </w:r>
      <w:hyperlink w:history="1" r:id="rId4il8fdbktsynulex475vx">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перечне лиц, причастных к террористической и экстремистской деятельности или распространению оружия массового уничтожения.</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2deamyhqt7w5xsdycnho1">
        <w:r>
          <w:rPr>
            <w:rFonts w:ascii="Arial" w:cs="Arial" w:eastAsia="Arial" w:hAnsi="Arial"/>
            <w:color w:val="1D4ED8"/>
            <w:sz w:val="24"/>
            <w:szCs w:val="24"/>
            <w:u w:val="single"/>
          </w:rPr>
          <w:t xml:space="preserve">28 мая 2012 года № 324</w:t>
        </w:r>
      </w:hyperlink>
      <w:r>
        <w:rPr>
          <w:rFonts w:ascii="Arial" w:cs="Arial" w:eastAsia="Arial" w:hAnsi="Arial"/>
          <w:sz w:val="24"/>
          <w:szCs w:val="24"/>
        </w:rPr>
        <w:t xml:space="preserve">, </w:t>
      </w:r>
      <w:hyperlink w:history="1" r:id="rIdwh6azqyzdl98pndsqfq9d">
        <w:r>
          <w:rPr>
            <w:rFonts w:ascii="Arial" w:cs="Arial" w:eastAsia="Arial" w:hAnsi="Arial"/>
            <w:color w:val="1D4ED8"/>
            <w:sz w:val="24"/>
            <w:szCs w:val="24"/>
            <w:u w:val="single"/>
          </w:rPr>
          <w:t xml:space="preserve">12 октября 2012 года № 716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Государственной службе финансовой разведки при Правительстве Кыргызской Республики, Государственной службе регулирования и надзора за финансовым рынком при Правительстве Кыргызской Республики, Государственному агентству связи при Правительстве Кыргызской Республики, Департаменту драгоценных металлов при Министерстве финансов Кыргызской Республики, Национальному банку Кыргызской Республики (по согласованию) принять необходимые меры, вытекающие из настоящего постановления.</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biebcot8uz4xzbh6jvzzd">
        <w:r>
          <w:rPr>
            <w:rFonts w:ascii="Arial" w:cs="Arial" w:eastAsia="Arial" w:hAnsi="Arial"/>
            <w:color w:val="1D4ED8"/>
            <w:sz w:val="24"/>
            <w:szCs w:val="24"/>
            <w:u w:val="single"/>
          </w:rPr>
          <w:t xml:space="preserve">28 мая 2012 года № 324</w:t>
        </w:r>
      </w:hyperlink>
      <w:r>
        <w:rPr>
          <w:rFonts w:ascii="Arial" w:cs="Arial" w:eastAsia="Arial" w:hAnsi="Arial"/>
          <w:sz w:val="24"/>
          <w:szCs w:val="24"/>
        </w:rPr>
        <w:t xml:space="preserve">, </w:t>
      </w:r>
      <w:hyperlink w:history="1" r:id="rIdcplzin6unmcvul8_q3pjb">
        <w:r>
          <w:rPr>
            <w:rFonts w:ascii="Arial" w:cs="Arial" w:eastAsia="Arial" w:hAnsi="Arial"/>
            <w:color w:val="1D4ED8"/>
            <w:sz w:val="24"/>
            <w:szCs w:val="24"/>
            <w:u w:val="single"/>
          </w:rPr>
          <w:t xml:space="preserve">12 октября 2012 года № 716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Настоящее постановление вступает в силу со дня подписания.</w:t>
      </w:r>
    </w:p>
    <w:p>
      <w:pPr>
        <w:spacing w:after="120"/>
        <w:jc w:val="both"/>
      </w:pPr>
      <w:r>
        <w:rPr>
          <w:rFonts w:ascii="Arial" w:cs="Arial" w:eastAsia="Arial" w:hAnsi="Arial"/>
          <w:sz w:val="24"/>
          <w:szCs w:val="24"/>
        </w:rPr>
        <w:t xml:space="preserve">4. (Утратил силу в соответствии с постановлением Правительства КР </w:t>
      </w:r>
      <w:hyperlink w:history="1" r:id="rIdibm6munxcxmkzltkmfo0c">
        <w:r>
          <w:rPr>
            <w:rFonts w:ascii="Arial" w:cs="Arial" w:eastAsia="Arial" w:hAnsi="Arial"/>
            <w:color w:val="1D4ED8"/>
            <w:sz w:val="24"/>
            <w:szCs w:val="24"/>
            <w:u w:val="single"/>
          </w:rPr>
          <w:t xml:space="preserve">28 мая 2012 года № 324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подготовки и переподготовки кадров по вопросам противодействия финансированию терроризма (экстремизма) и легализации (отмыванию) доходов, полученных преступным путем</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d07xydvfnntdorth4iqle">
        <w:r>
          <w:rPr>
            <w:rFonts w:ascii="Arial" w:cs="Arial" w:eastAsia="Arial" w:hAnsi="Arial"/>
            <w:color w:val="1D4ED8"/>
            <w:sz w:val="24"/>
            <w:szCs w:val="24"/>
            <w:u w:val="single"/>
          </w:rPr>
          <w:t xml:space="preserve">28 мая 2012 года № 324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Настоящее Положение о порядке подготовки и переподготовки кадров по вопросам противодействия финансированию терроризма (экстремизма) и легализации (отмыванию) доходов, полученных преступным путем (далее Положение), разработано в соответствии с </w:t>
      </w:r>
      <w:hyperlink w:history="1" r:id="rIdw5sj285gotioyr9b-04x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противодействии финансированию терроризма и легализации (отмыванию) доходов, полученных преступным путем" и устанавливает общий порядок подготовки и переподготовки кадров по вопросам противодействия финансированию терроризма (экстремизма)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2. В настоящем Положении используются следующие понятия и термины:</w:t>
      </w:r>
    </w:p>
    <w:p>
      <w:pPr>
        <w:spacing w:after="120"/>
        <w:jc w:val="both"/>
      </w:pPr>
      <w:r>
        <w:rPr>
          <w:rFonts w:ascii="Arial" w:cs="Arial" w:eastAsia="Arial" w:hAnsi="Arial"/>
          <w:sz w:val="24"/>
          <w:szCs w:val="24"/>
        </w:rPr>
        <w:t xml:space="preserve">УМЦ - Учебно-методический центр Государственной службы финансовой разведки при Правительстве Кыргызской Республики;</w:t>
      </w:r>
    </w:p>
    <w:p>
      <w:pPr>
        <w:spacing w:after="120"/>
        <w:jc w:val="both"/>
      </w:pPr>
      <w:r>
        <w:rPr>
          <w:rFonts w:ascii="Arial" w:cs="Arial" w:eastAsia="Arial" w:hAnsi="Arial"/>
          <w:sz w:val="24"/>
          <w:szCs w:val="24"/>
        </w:rPr>
        <w:t xml:space="preserve">Финансовая разведка - Государственная служба финансовой разведки при Правительстве Кыргызской Республики;</w:t>
      </w:r>
    </w:p>
    <w:p>
      <w:pPr>
        <w:spacing w:after="120"/>
        <w:jc w:val="both"/>
      </w:pPr>
      <w:r>
        <w:rPr>
          <w:rFonts w:ascii="Arial" w:cs="Arial" w:eastAsia="Arial" w:hAnsi="Arial"/>
          <w:sz w:val="24"/>
          <w:szCs w:val="24"/>
        </w:rPr>
        <w:t xml:space="preserve">ПФТЭ/ЛОД - противодействие финансированию терроризма (экстремизма)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лица, представляющие сведения, - лица, предусмотренные в статье 2 </w:t>
      </w:r>
      <w:hyperlink w:history="1" r:id="rIdipif_3mxhgojtzdynivn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кадры - сотрудники лиц, представляющих сведения, и другие заинтересованные лица, занимающиеся вопросами ПФТЭ/ЛОД;</w:t>
      </w:r>
    </w:p>
    <w:p>
      <w:pPr>
        <w:spacing w:after="120"/>
        <w:jc w:val="both"/>
      </w:pPr>
      <w:r>
        <w:rPr>
          <w:rFonts w:ascii="Arial" w:cs="Arial" w:eastAsia="Arial" w:hAnsi="Arial"/>
          <w:sz w:val="24"/>
          <w:szCs w:val="24"/>
        </w:rPr>
        <w:t xml:space="preserve">служба внутреннего контроля - уполномоченный сотрудник или структурное подразделение лица, представляющего сведения, ответственные за осуществление правил внутреннего контроля, в целях ПФТЭ/ЛОД и представление сообщений в Финансовую разведку.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Порядок подготовки и переподготовки кадров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Лицо, представляющее сведения, разрабатывает график подготовки и переподготовки своих сотрудников в сфере ПФТЭ/ЛОД, с учетом требований законодательства Кыргызской Республики в сфере ПФТЭ/ЛОД, а также особенностей своей деятельности.</w:t>
      </w:r>
    </w:p>
    <w:p>
      <w:pPr>
        <w:spacing w:after="120"/>
        <w:jc w:val="both"/>
      </w:pPr>
      <w:r>
        <w:rPr>
          <w:rFonts w:ascii="Arial" w:cs="Arial" w:eastAsia="Arial" w:hAnsi="Arial"/>
          <w:sz w:val="24"/>
          <w:szCs w:val="24"/>
        </w:rPr>
        <w:t xml:space="preserve">4. Руководитель лица, представляющего сведения (или уполномоченное им лицо), обязан пройти обучение и организовать проведение обучения в сфере ПФТЭ/ЛОД для своих работников (в случае их наличия).</w:t>
      </w:r>
    </w:p>
    <w:p>
      <w:pPr>
        <w:spacing w:after="120"/>
        <w:jc w:val="both"/>
      </w:pPr>
      <w:r>
        <w:rPr>
          <w:rFonts w:ascii="Arial" w:cs="Arial" w:eastAsia="Arial" w:hAnsi="Arial"/>
          <w:sz w:val="24"/>
          <w:szCs w:val="24"/>
        </w:rPr>
        <w:t xml:space="preserve">5. В целях последовательного повышения профессионального уровня и подготовки специалистов в сфере ПФТЭ/ЛОД подготовка и переподготовка кадров лиц, представляющих сведения, осуществляются исключительно УМЦ.</w:t>
      </w:r>
    </w:p>
    <w:p>
      <w:pPr>
        <w:spacing w:after="120"/>
        <w:jc w:val="both"/>
      </w:pPr>
      <w:r>
        <w:rPr>
          <w:rFonts w:ascii="Arial" w:cs="Arial" w:eastAsia="Arial" w:hAnsi="Arial"/>
          <w:sz w:val="24"/>
          <w:szCs w:val="24"/>
        </w:rPr>
        <w:t xml:space="preserve">6. Обучению в УМЦ подлежат сотрудники лиц, представляющих сведения, занимающиеся вопросами ПФТЭ/ЛОД. Руководитель лица, представляющего сведения (или уполномоченное им лицо), утверждает перечень сотрудников, которые должны пройти обучение в целях ПФТЭ/ЛОД.</w:t>
      </w:r>
    </w:p>
    <w:p>
      <w:pPr>
        <w:spacing w:after="120"/>
        <w:jc w:val="both"/>
      </w:pPr>
      <w:r>
        <w:rPr>
          <w:rFonts w:ascii="Arial" w:cs="Arial" w:eastAsia="Arial" w:hAnsi="Arial"/>
          <w:sz w:val="24"/>
          <w:szCs w:val="24"/>
        </w:rPr>
        <w:t xml:space="preserve">Лица, представляющие сведения, должны не реже одного раза в год за свой счет организовывать проведение обучения работников службы внутреннего контроля и других сотрудников (по их усмотрению), в том числе руководителей и их заместителей в УМЦ (в соответствии с графиком обучения).</w:t>
      </w:r>
    </w:p>
    <w:p>
      <w:pPr>
        <w:spacing w:after="120"/>
        <w:jc w:val="both"/>
      </w:pPr>
      <w:r>
        <w:rPr>
          <w:rFonts w:ascii="Arial" w:cs="Arial" w:eastAsia="Arial" w:hAnsi="Arial"/>
          <w:sz w:val="24"/>
          <w:szCs w:val="24"/>
        </w:rPr>
        <w:t xml:space="preserve">Сотрудники службы внутреннего контроля должны пройти обучение в УМЦ, в том числе в следующих случаях:</w:t>
      </w:r>
    </w:p>
    <w:p>
      <w:pPr>
        <w:spacing w:after="120"/>
        <w:jc w:val="both"/>
      </w:pPr>
      <w:r>
        <w:rPr>
          <w:rFonts w:ascii="Arial" w:cs="Arial" w:eastAsia="Arial" w:hAnsi="Arial"/>
          <w:sz w:val="24"/>
          <w:szCs w:val="24"/>
        </w:rPr>
        <w:t xml:space="preserve">- при приеме на работу на службу в систему внутреннего контроля;</w:t>
      </w:r>
    </w:p>
    <w:p>
      <w:pPr>
        <w:spacing w:after="120"/>
        <w:jc w:val="both"/>
      </w:pPr>
      <w:r>
        <w:rPr>
          <w:rFonts w:ascii="Arial" w:cs="Arial" w:eastAsia="Arial" w:hAnsi="Arial"/>
          <w:sz w:val="24"/>
          <w:szCs w:val="24"/>
        </w:rPr>
        <w:t xml:space="preserve">- при принятии новых нормативных правовых актов Кыргызской Республики в сфере ПФТЭ/ЛОД;</w:t>
      </w:r>
    </w:p>
    <w:p>
      <w:pPr>
        <w:spacing w:after="120"/>
        <w:jc w:val="both"/>
      </w:pPr>
      <w:r>
        <w:rPr>
          <w:rFonts w:ascii="Arial" w:cs="Arial" w:eastAsia="Arial" w:hAnsi="Arial"/>
          <w:sz w:val="24"/>
          <w:szCs w:val="24"/>
        </w:rPr>
        <w:t xml:space="preserve">- при нарушении работниками требований системы внутреннего контроля по ПФТЭ/ЛОД;</w:t>
      </w:r>
    </w:p>
    <w:p>
      <w:pPr>
        <w:spacing w:after="120"/>
        <w:jc w:val="both"/>
      </w:pPr>
      <w:r>
        <w:rPr>
          <w:rFonts w:ascii="Arial" w:cs="Arial" w:eastAsia="Arial" w:hAnsi="Arial"/>
          <w:sz w:val="24"/>
          <w:szCs w:val="24"/>
        </w:rPr>
        <w:t xml:space="preserve">- по решению работодателя (или уполномоченного им лица).</w:t>
      </w:r>
    </w:p>
    <w:p>
      <w:pPr>
        <w:spacing w:after="120"/>
        <w:jc w:val="both"/>
      </w:pPr>
      <w:r>
        <w:rPr>
          <w:rFonts w:ascii="Arial" w:cs="Arial" w:eastAsia="Arial" w:hAnsi="Arial"/>
          <w:sz w:val="24"/>
          <w:szCs w:val="24"/>
        </w:rPr>
        <w:t xml:space="preserve">Ответственность за организацию и своевременность обучения несет руководитель лица, представляющего сведения.</w:t>
      </w:r>
    </w:p>
    <w:p>
      <w:pPr>
        <w:spacing w:after="120"/>
        <w:jc w:val="both"/>
      </w:pPr>
      <w:r>
        <w:rPr>
          <w:rFonts w:ascii="Arial" w:cs="Arial" w:eastAsia="Arial" w:hAnsi="Arial"/>
          <w:sz w:val="24"/>
          <w:szCs w:val="24"/>
        </w:rPr>
        <w:t xml:space="preserve">7. Обучению в УМЦ также подлежат сотрудники Финансовой разведки, надзорных органов и другие заинтересованные лица, занимающиеся вопросами ПФТЭ/ЛОД.</w:t>
      </w:r>
    </w:p>
    <w:p>
      <w:pPr>
        <w:spacing w:after="120"/>
        <w:jc w:val="both"/>
      </w:pPr>
      <w:r>
        <w:rPr>
          <w:rFonts w:ascii="Arial" w:cs="Arial" w:eastAsia="Arial" w:hAnsi="Arial"/>
          <w:sz w:val="24"/>
          <w:szCs w:val="24"/>
        </w:rPr>
        <w:t xml:space="preserve">8. В УМЦ обучение кадров в сфере ПФТЭ/ЛОД осуществляется в соответствии с программой обучения, разработанной на основании нормативных правовых актов Кыргызской Республики, с учетом специфики деятельности обучающихся.</w:t>
      </w:r>
    </w:p>
    <w:p>
      <w:pPr>
        <w:spacing w:after="120"/>
        <w:jc w:val="both"/>
      </w:pPr>
      <w:r>
        <w:rPr>
          <w:rFonts w:ascii="Arial" w:cs="Arial" w:eastAsia="Arial" w:hAnsi="Arial"/>
          <w:sz w:val="24"/>
          <w:szCs w:val="24"/>
        </w:rPr>
        <w:t xml:space="preserve">Программа обучения должна предусматривать:</w:t>
      </w:r>
    </w:p>
    <w:p>
      <w:pPr>
        <w:spacing w:after="120"/>
        <w:jc w:val="both"/>
      </w:pPr>
      <w:r>
        <w:rPr>
          <w:rFonts w:ascii="Arial" w:cs="Arial" w:eastAsia="Arial" w:hAnsi="Arial"/>
          <w:sz w:val="24"/>
          <w:szCs w:val="24"/>
        </w:rPr>
        <w:t xml:space="preserve">а) изучение нормативных правовых актов Кыргызской Республики и внутренних документов лица, представляющего сведения в сфере ПФТЭ/ЛОД;</w:t>
      </w:r>
    </w:p>
    <w:p>
      <w:pPr>
        <w:spacing w:after="120"/>
        <w:jc w:val="both"/>
      </w:pPr>
      <w:r>
        <w:rPr>
          <w:rFonts w:ascii="Arial" w:cs="Arial" w:eastAsia="Arial" w:hAnsi="Arial"/>
          <w:sz w:val="24"/>
          <w:szCs w:val="24"/>
        </w:rPr>
        <w:t xml:space="preserve">б) изучение правил и процедур осуществления внутреннего контроля при исполнении сотрудником должностных обязанностей, а также мер ответственности, которые могут быть применены к сотруднику за неисполнение требований нормативных правовых актов Кыргызской Республики о ПФТЭ/ЛОД и иных организационно-распорядительных документов лиц, представляющих сведения, принятых в целях организации и осуществления внутреннего контроля;</w:t>
      </w:r>
    </w:p>
    <w:p>
      <w:pPr>
        <w:spacing w:after="120"/>
        <w:jc w:val="both"/>
      </w:pPr>
      <w:r>
        <w:rPr>
          <w:rFonts w:ascii="Arial" w:cs="Arial" w:eastAsia="Arial" w:hAnsi="Arial"/>
          <w:sz w:val="24"/>
          <w:szCs w:val="24"/>
        </w:rPr>
        <w:t xml:space="preserve">в) изучение типологий, характерных схем и способов финансирования терроризма (экстремизма) и легализации (отмывания) доходов, полученных преступным путем, а также критериев выявления и признаков подозрительных (необычных) операций и сделок;</w:t>
      </w:r>
    </w:p>
    <w:p>
      <w:pPr>
        <w:spacing w:after="120"/>
        <w:jc w:val="both"/>
      </w:pPr>
      <w:r>
        <w:rPr>
          <w:rFonts w:ascii="Arial" w:cs="Arial" w:eastAsia="Arial" w:hAnsi="Arial"/>
          <w:sz w:val="24"/>
          <w:szCs w:val="24"/>
        </w:rPr>
        <w:t xml:space="preserve">г) изучение других материалов в соответствии с программой обучения.</w:t>
      </w:r>
    </w:p>
    <w:p>
      <w:pPr>
        <w:spacing w:after="120"/>
        <w:jc w:val="both"/>
      </w:pPr>
      <w:r>
        <w:rPr>
          <w:rFonts w:ascii="Arial" w:cs="Arial" w:eastAsia="Arial" w:hAnsi="Arial"/>
          <w:sz w:val="24"/>
          <w:szCs w:val="24"/>
        </w:rPr>
        <w:t xml:space="preserve">9. Лица, закончившие обучение в соответствии с учебным планом, сдают итоговый экзамен. Порядок проведения и состав комиссии по принятию итогового экзамена определяются решением УМЦ.</w:t>
      </w:r>
    </w:p>
    <w:p>
      <w:pPr>
        <w:spacing w:after="120"/>
        <w:jc w:val="both"/>
      </w:pPr>
      <w:r>
        <w:rPr>
          <w:rFonts w:ascii="Arial" w:cs="Arial" w:eastAsia="Arial" w:hAnsi="Arial"/>
          <w:sz w:val="24"/>
          <w:szCs w:val="24"/>
        </w:rPr>
        <w:t xml:space="preserve">Лицам, успешно сдавшим итоговый экзамен, УМЦ выдает сертификат установленного образца, который является документом, имеющим государственное значение.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Учет подготовки и переподготовки кадров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Лицо, представляющее сведения, ведет учет прохождения сотрудниками обучения в установленном порядке.</w:t>
      </w:r>
    </w:p>
    <w:p>
      <w:pPr>
        <w:spacing w:after="120"/>
        <w:jc w:val="both"/>
      </w:pPr>
      <w:r>
        <w:rPr>
          <w:rFonts w:ascii="Arial" w:cs="Arial" w:eastAsia="Arial" w:hAnsi="Arial"/>
          <w:sz w:val="24"/>
          <w:szCs w:val="24"/>
        </w:rPr>
        <w:t xml:space="preserve">Документы, подтверждающие прохождение сотрудником обучения, приобщаются к личному делу сотрудника.</w:t>
      </w:r>
    </w:p>
    <w:p>
      <w:pPr>
        <w:spacing w:after="120"/>
        <w:jc w:val="both"/>
      </w:pPr>
      <w:r>
        <w:rPr>
          <w:rFonts w:ascii="Arial" w:cs="Arial" w:eastAsia="Arial" w:hAnsi="Arial"/>
          <w:sz w:val="24"/>
          <w:szCs w:val="24"/>
        </w:rPr>
        <w:t xml:space="preserve">11. В целях централизованного учета подготовленных кадров в сфере ПФТЭ/ЛОД УМЦ формирует соответствующую базу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ku4wp1y7e07qdxieagmi">
      <w:r>
        <w:rPr>
          <w:rFonts w:ascii="Arial" w:cs="Arial" w:eastAsia="Arial" w:hAnsi="Arial"/>
          <w:color w:val="132D3F"/>
          <w:sz w:val="16"/>
          <w:szCs w:val="16"/>
          <w:u w:val="single"/>
        </w:rPr>
        <w:t xml:space="preserve">dalil.kg/document/92091</w:t>
      </w:r>
    </w:hyperlink>
  </w:p>
  <w:p>
    <w:pPr>
      <w:spacing w:after="0" w:before="40"/>
      <w:jc w:val="center"/>
    </w:pPr>
    <w:hyperlink w:history="1" r:id="rIdzy6pw70-b0zpow4cpw_3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rjewfgbv9o3jrdvjb32u" Type="http://schemas.openxmlformats.org/officeDocument/2006/relationships/hyperlink" Target="https://dalil.kg/document/12923" TargetMode="External"/><Relationship Id="rIdqdbpcf_urcb4yz2u1oo8x" Type="http://schemas.openxmlformats.org/officeDocument/2006/relationships/hyperlink" Target="https://dalil.kg/document/93849" TargetMode="External"/><Relationship Id="rIdaf0pfw4tvvhjn-nhx3wyp" Type="http://schemas.openxmlformats.org/officeDocument/2006/relationships/hyperlink" Target="https://dalil.kg/document/93137" TargetMode="External"/><Relationship Id="rId2ysrbcovkwfw7gk_-kkxu" Type="http://schemas.openxmlformats.org/officeDocument/2006/relationships/hyperlink" Target="https://dalil.kg/document/1926" TargetMode="External"/><Relationship Id="rId3_sfxgjubyi84kk_9jhfg" Type="http://schemas.openxmlformats.org/officeDocument/2006/relationships/hyperlink" Target="https://dalil.kg/document/91051" TargetMode="External"/><Relationship Id="rId_otbkrcu69rvgogiunpzi" Type="http://schemas.openxmlformats.org/officeDocument/2006/relationships/hyperlink" Target="https://dalil.kg/document/91052" TargetMode="External"/><Relationship Id="rIdfquqonca_kkell3nefrxj" Type="http://schemas.openxmlformats.org/officeDocument/2006/relationships/hyperlink" Target="https://dalil.kg/document/91053" TargetMode="External"/><Relationship Id="rIdgutryx_yha5hcnyywvumx" Type="http://schemas.openxmlformats.org/officeDocument/2006/relationships/hyperlink" Target="https://dalil.kg/document/91054" TargetMode="External"/><Relationship Id="rIdgch4wwojch7_eixzijtnr" Type="http://schemas.openxmlformats.org/officeDocument/2006/relationships/hyperlink" Target="https://dalil.kg/document/91055" TargetMode="External"/><Relationship Id="rIdnq5i8ze-82ni_apxrheah" Type="http://schemas.openxmlformats.org/officeDocument/2006/relationships/hyperlink" Target="https://dalil.kg/document/92091#&#1088;1" TargetMode="External"/><Relationship Id="rIdrwjp4kami4glzbstahiew" Type="http://schemas.openxmlformats.org/officeDocument/2006/relationships/hyperlink" Target="https://dalil.kg/document/38203" TargetMode="External"/><Relationship Id="rId4il8fdbktsynulex475vx" Type="http://schemas.openxmlformats.org/officeDocument/2006/relationships/hyperlink" Target="https://dalil.kg/document/38264" TargetMode="External"/><Relationship Id="rId2deamyhqt7w5xsdycnho1" Type="http://schemas.openxmlformats.org/officeDocument/2006/relationships/hyperlink" Target="https://dalil.kg/document/93849" TargetMode="External"/><Relationship Id="rIdwh6azqyzdl98pndsqfq9d" Type="http://schemas.openxmlformats.org/officeDocument/2006/relationships/hyperlink" Target="https://dalil.kg/document/93137" TargetMode="External"/><Relationship Id="rIdbiebcot8uz4xzbh6jvzzd" Type="http://schemas.openxmlformats.org/officeDocument/2006/relationships/hyperlink" Target="https://dalil.kg/document/93849" TargetMode="External"/><Relationship Id="rIdcplzin6unmcvul8_q3pjb" Type="http://schemas.openxmlformats.org/officeDocument/2006/relationships/hyperlink" Target="https://dalil.kg/document/93137" TargetMode="External"/><Relationship Id="rIdibm6munxcxmkzltkmfo0c" Type="http://schemas.openxmlformats.org/officeDocument/2006/relationships/hyperlink" Target="https://dalil.kg/document/93849" TargetMode="External"/><Relationship Id="rIdd07xydvfnntdorth4iqle" Type="http://schemas.openxmlformats.org/officeDocument/2006/relationships/hyperlink" Target="https://dalil.kg/document/93849" TargetMode="External"/><Relationship Id="rIdw5sj285gotioyr9b-04xa" Type="http://schemas.openxmlformats.org/officeDocument/2006/relationships/hyperlink" Target="https://dalil.kg/document/1926" TargetMode="External"/><Relationship Id="rIdipif_3mxhgojtzdynivna" Type="http://schemas.openxmlformats.org/officeDocument/2006/relationships/hyperlink" Target="https://dalil.kg/document/1926"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ku4wp1y7e07qdxieagmi" Type="http://schemas.openxmlformats.org/officeDocument/2006/relationships/hyperlink" Target="https://dalil.kg/document/92091" TargetMode="External"/><Relationship Id="rIdzy6pw70-b0zpow4cpw_3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2026-09-25T01:18:48.998Z</dcterms:created>
  <dcterms:modified xsi:type="dcterms:W3CDTF">2026-09-25T01:18:48.998Z</dcterms:modified>
</cp:coreProperties>
</file>

<file path=docProps/custom.xml><?xml version="1.0" encoding="utf-8"?>
<Properties xmlns="http://schemas.openxmlformats.org/officeDocument/2006/custom-properties" xmlns:vt="http://schemas.openxmlformats.org/officeDocument/2006/docPropsVTypes"/>
</file>