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pcqtpqeyprku_gwnvwru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15 июня 2016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Типовых соглашений с отечественными производителями этилового спирта, водки и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wvjoueenmjxys0xt7k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2011 года №392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_lfmu9pjpq0bjiuf6w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hxnemig9oozwzwbz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2014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</w:t>
      </w:r>
      <w:hyperlink w:history="1" r:id="rIdg2exxqhckstthkb2bo0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проекты Типовых соглашений</w:t>
        </w:r>
      </w:hyperlink>
      <w:r>
        <w:rPr>
          <w:rFonts w:ascii="Arial" w:cs="Arial" w:eastAsia="Arial" w:hAnsi="Arial"/>
          <w:sz w:val="24"/>
          <w:szCs w:val="24"/>
        </w:rPr>
        <w:t xml:space="preserve"> о выполнении прогнозного плана производства и реализации водки, о выполнении прогнозного плана производства и реализации пива с отечественными производителями этилового спирта, водки и пива.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Государственной налоговой службы на подписание от имени Правительства Кыргызской Республики указанных в пункте 1 настоящего постановления Типовых соглашений с отечественными производителями этилового спирта, водки и пива.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lxe_en_ek9yypq8dfw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15 февраля 2011 года 
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соглашение
 о выполнении прогнозного плана производства и реализации водки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k8yes1wmw2tblzuwfx8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2011 года №392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nfhuqm1ybzktiabra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pwhcc9tcgdsuy__3y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2014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«___»_______ </w:t>
      </w:r>
      <w:r>
        <w:rPr>
          <w:rFonts w:ascii="Arial" w:cs="Arial" w:eastAsia="Arial" w:hAnsi="Arial"/>
          <w:sz w:val="24"/>
          <w:szCs w:val="24"/>
        </w:rPr>
        <w:t xml:space="preserve">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(далее - ГНС), в лице председателя ________________________, действующего на основании Положения о ГНС, с одной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производители водки: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 в лице ___________________, действующего на основании 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 в лице ___________________, действующего на основании 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 в лице __________________, действующего на основании 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(именуемые далее - Производители), с другой стороны,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этилового спирта: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7c_yex4stskmusijoa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 в лице директора _________________________, действующего на основании 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_____________________, действующего на основании Устава,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(именуемые далее - Заводы),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третьей стороны, совместно именуемые «Стороны»,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динамику развития алкогольной отрасли как одной из бюджетообразующих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финансово-экономическую и социальную ситуацию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понимая 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объема производства и реализации водки отечественными производителями, выражающихся в качественных и количественных показателях в доле экономики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поступлений в доходную часть государственного бюджета акцизного и других налогов, предусмотренных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беспрерывного обеспечения этиловым спиртом отечественных производителей для выполнения прогнозного плана объема производства водки,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заключили настоящее Соглашение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ГНС создает необходимые условия для обеспечения беспрепятственной деятельности Производителей по увеличению производства и реализации водки,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Производители принимают на себя обязательства по увеличению поступлений в доходную часть государственного бюджета акцизного и других налогов, связанных с производством и реализацией водки в объемах, согласно </w:t>
      </w:r>
      <w:hyperlink w:history="1" r:id="rIdlwnwa0wtbkkt_1qebx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Заводы обеспечивают беспрерывную поставку Производителям этилового спирта на условиях консигнации.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Стороны берут на себя обязательства, которые будут выполнять на условиях и в сроки, предусмотренные настоящим Соглашением и приложениями, являющимися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Производители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выполнять индивидуальный годовой экономический план объема производства водки, разбитый по месяцам календарного года, согласно </w:t>
      </w:r>
      <w:hyperlink w:history="1" r:id="rIdsjj03voyjeiie0yibiq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(2.1-2.11).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технологических и иных проблем на заводе Производителя, подтвержденных актом ГНС, допускается отклонение, но не более 20 процентов по выполнению ежемесячного плана производства, которое Производитель восполняет в течение следующего месяца в рамках выполнения общего годового плана производства водки;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своевременно уплачивать суммы акцизного налога в объемах, предусмотренных в приложениях, при этом объем водки, поставленный на экспорт, не учитывается;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указывать на водочной продукции информацию на государственном и официальном языках о минимальной оптово-отпускной и розничной цене, установленной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ежедекадно предоставлять оперативную информацию по выполнению объема производства водки;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предоставлять в ГНС достоверную информацию и отчетные данные для подведения ежемесячных и ежеквартальных итогов;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нести солидарную ответственность в случае неисполнения одним из Производителей плана производства водки. В целях выполнения ежемесячного и годового планов, невыполненная доля распределяется ГНС между Производителями, с учетом их производственных мощностей и доли, занимаемой на рынке алкогольной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u5cezui_b8cstkior1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2011 года №392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Производители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предоставление защиты от необоснованного вмешательства контролирующих и правоохранительных органов в 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предоставление этилового спирта на условиях консигнации в объемах, согласованных с Заводами;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направлять представителя для включения в состав рабочей комиссии, создаваемой ГНС, для проверки соблюдения Сторонами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ГНС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осуществлять прием ежедекадной оперативной информации от Производителей и Заводов, подводить итоги работы на ежемесячной и квартальной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(Утратил силу в соответствии с постановлением Правительства КР от </w:t>
      </w:r>
      <w:hyperlink w:history="1" r:id="rIdu0zmoad3eck4sc5qr7y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в) выступать в качестве агента во взаимоотношениях Производителей и Заводов в рамках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pztnbgdgxlcyreklb_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ГНС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контролировать выполнение объемов производства и реализации водки и своевременную уплату акцизного налога, создавать рабочую комиссию для выяснения причин невыполнения или ненадлежащего выполнения условий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отозвать лицензию Производителя и/или Завода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Заводов: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Заводы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заключать индивидуально с Производителями договоры на поставку этилового спирта на условиях консигнации с отсрочкой платежа до 20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своевременно поставлять этиловый спирт в объемах, согласованных с 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предоставлять ГНС ежедекадные отчеты по выполнению условий настоящего Соглашения, а также прогнозы производства предстоящего отчетного периода в соответствии с </w:t>
      </w:r>
      <w:hyperlink w:history="1" r:id="rIdxujhlwi-c_kji2nhzn7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приложениями 3</w:t>
        </w:r>
      </w:hyperlink>
      <w:r>
        <w:rPr>
          <w:rFonts w:ascii="Arial" w:cs="Arial" w:eastAsia="Arial" w:hAnsi="Arial"/>
          <w:sz w:val="24"/>
          <w:szCs w:val="24"/>
        </w:rPr>
        <w:t xml:space="preserve"> (3.1., 3.2.).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Заводы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требовать своевременного приема Производителями этилового спирта согласно </w:t>
      </w:r>
      <w:hyperlink w:history="1" r:id="rIdq_yu1zj1hnab0b4iaw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4</w:t>
        </w:r>
      </w:hyperlink>
      <w:r>
        <w:rPr>
          <w:rFonts w:ascii="Arial" w:cs="Arial" w:eastAsia="Arial" w:hAnsi="Arial"/>
          <w:sz w:val="24"/>
          <w:szCs w:val="24"/>
        </w:rPr>
        <w:t xml:space="preserve"> (4.1., 4.2.) к настоящему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своевременное получение у Производителей оплаты за поставленный этиловый спирт;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обратиться в государственные органы с предложением по повышению эффективности работы для реализации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(Утратил силу в соответствии с постановлением Правительства КР от </w:t>
      </w:r>
      <w:hyperlink w:history="1" r:id="rIdzgdyg2t29zwv1ybxg2g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2014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случае невыполнения оговоренных настоящим Соглашением объемов производства, Производитель лишается лицензии в установленном законом порядке, за исключением случаев, предусмотренных абзацем вторым подпункта а) пункта 2.1. настоящего Соглашения. При этом Производитель обязан в течение 30 календарных дней со дня отзыва лицензии демонтировать автоматы (моноблоки) разлива и этикетирования алкогольной продукции и хранить их на складе производителя продукции по адресу, указанному 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Сторона освобождается от ответственности за частичное или полное неисполнение обязательств по настоящему Соглашению, если это неисполнение явилось следствием причин непреодолимой силы, то есть чрезвычайных и непредотвратимых при данных условиях обстоятельств, которые Стороны не могли предвидеть и предотвратить разумными мерами.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Непреодолимой силой признаются следующие события: землетрясение, наводнение, пожар, военные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наступлении обстоятельств форс-мажора Сторона обязана известить о них немедленно в письменной форме другую Сторону. Извещение должно содержать данные о характере обстоятельств, а также, по возможности, оценку их влияния на реальность исполнения Стороной своих обязательств по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 прекращении обстоятельств непреодолимой силы, Сторона обязана немедленно известить другую Сторону в письменной форме. В извещении должен быть указан срок, в который предполагается исполнить обязательства, предусмотренные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Возникновение вышеуказанных обстоятельств продлевает срок исполнения обязательств по настоящему Соглашению на период, соответствующий сроку действия указанных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Настоящее Соглашение вступает в силу со дня подписания и действует до 31 декабря _______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настоящего Соглашения, условия его остаются действительными в отношении поставок этилового спирта, которые к моменту прекращения действия настоящего Соглашения будут находиться на консигнации и расчет по которым Сторонами не закончен.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Настоящее Соглашение может быть расторгнуто по соглашению Сторон. Соглашение может быть расторгнуто с письменного уведомления и прекращает свое действие по истечении двух месяцев со дня направления другой Стороне уведомления о прекращении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(Утратил силу в соответствии с постановлением Правительства КР от </w:t>
      </w:r>
      <w:hyperlink w:history="1" r:id="rIdpzrkdrjwajz5vq75ug8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Все приложения и последующие изменения к настоящему Соглашению являются его неотъемлемой частью и имеют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Споры и разногласия по настоящему Соглашению урегулируются Сторонами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невозможности урегулирования споров путем переговоров, разрешение споров осуществляется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Во всем остальном, что не оговорено в настоящем Соглашении, Стороны руководствуются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Настоящее Соглашение составлено в ________________ экземплярах, по одному для каждой из сторон,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Производители: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Соглашению о выполнении прогнозного
 плана производства и реализации водки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водки и уплаты акцизного налога на 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2kew_wvkmx0u3idwvt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434"/>
        <w:gridCol w:w="741"/>
        <w:gridCol w:w="733"/>
        <w:gridCol w:w="460"/>
        <w:gridCol w:w="407"/>
        <w:gridCol w:w="601"/>
        <w:gridCol w:w="389"/>
        <w:gridCol w:w="542"/>
        <w:gridCol w:w="407"/>
        <w:gridCol w:w="495"/>
        <w:gridCol w:w="664"/>
        <w:gridCol w:w="761"/>
        <w:gridCol w:w="413"/>
        <w:gridCol w:w="711"/>
        <w:gridCol w:w="609"/>
        <w:gridCol w:w="680"/>
        <w:gridCol w:w="348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</w:t>
            </w:r>
          </w:p>
        </w:tc>
        <w:tc>
          <w:tcPr>
            <w:tcW w:type="dxa" w:w="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кв.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</w:t>
            </w:r>
          </w:p>
        </w:tc>
        <w:tc>
          <w:tcPr>
            <w:tcW w:type="dxa" w:w="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водка (тыс. дал)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Квота на спирт (тыс. дал)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 (млн. сом.)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Соглашению о выполнении прогнозного
 плана производства и реализации водки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водки (квота на спирт) и уплаты акцизного налога 
 на _______год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9"/>
        <w:gridCol w:w="417"/>
        <w:gridCol w:w="529"/>
        <w:gridCol w:w="454"/>
        <w:gridCol w:w="537"/>
        <w:gridCol w:w="556"/>
        <w:gridCol w:w="548"/>
        <w:gridCol w:w="442"/>
        <w:gridCol w:w="594"/>
        <w:gridCol w:w="576"/>
        <w:gridCol w:w="566"/>
        <w:gridCol w:w="491"/>
        <w:gridCol w:w="584"/>
        <w:gridCol w:w="594"/>
        <w:gridCol w:w="495"/>
        <w:gridCol w:w="690"/>
        <w:gridCol w:w="820"/>
        <w:gridCol w:w="446"/>
      </w:tblGrid>
      <w:tr>
        <w:tc>
          <w:tcPr>
            <w:tcW w:type="dxa" w:w="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фев.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апр.</w:t>
            </w:r>
          </w:p>
        </w:tc>
        <w:tc>
          <w:tcPr>
            <w:tcW w:type="dxa" w:w="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дал)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Квота на спирт (тыс. дал)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 (млн. сом.)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(Утратила силу в соответствии с постановлением Правительства КР от </w:t>
      </w:r>
      <w:hyperlink w:history="1" r:id="rIdfjblzoplpklb1y0zdu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(Утратило силу в соответствии с постановлением Правительства КР от </w:t>
      </w:r>
      <w:hyperlink w:history="1" r:id="rIdmpmjo2gqolvn_xmm9x-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(Утратило силу в соответствии с постановлением Правительства КР от </w:t>
      </w:r>
      <w:hyperlink w:history="1" r:id="rId2jvighecuztoiw9ozzu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Соглашению о выполнении прогнозного
 плана производства и реализации водки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и отгрузки этилового спирта с _____ на 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564"/>
        <w:gridCol w:w="488"/>
        <w:gridCol w:w="584"/>
        <w:gridCol w:w="623"/>
        <w:gridCol w:w="423"/>
        <w:gridCol w:w="468"/>
        <w:gridCol w:w="525"/>
        <w:gridCol w:w="564"/>
        <w:gridCol w:w="419"/>
        <w:gridCol w:w="564"/>
        <w:gridCol w:w="574"/>
        <w:gridCol w:w="572"/>
        <w:gridCol w:w="423"/>
        <w:gridCol w:w="515"/>
        <w:gridCol w:w="564"/>
        <w:gridCol w:w="564"/>
        <w:gridCol w:w="474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фев.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  <w:tc>
          <w:tcPr>
            <w:tcW w:type="dxa" w:w="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апр.</w:t>
            </w:r>
          </w:p>
        </w:tc>
        <w:tc>
          <w:tcPr>
            <w:tcW w:type="dxa" w:w="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</w:t>
            </w:r>
          </w:p>
        </w:tc>
        <w:tc>
          <w:tcPr>
            <w:tcW w:type="dxa" w:w="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нояб.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</w:t>
            </w:r>
          </w:p>
        </w:tc>
        <w:tc>
          <w:tcPr>
            <w:tcW w:type="dxa" w:w="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(тыс. дал)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Отгрузка спирта (тыс. дал)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Соглашению о выполнении прогнозного
 плана производства и реализации водки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этилового спирта _______________ на 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ouobcvcsbop-czwj0_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527"/>
        <w:gridCol w:w="541"/>
        <w:gridCol w:w="531"/>
        <w:gridCol w:w="556"/>
        <w:gridCol w:w="419"/>
        <w:gridCol w:w="560"/>
        <w:gridCol w:w="580"/>
        <w:gridCol w:w="607"/>
        <w:gridCol w:w="497"/>
        <w:gridCol w:w="635"/>
        <w:gridCol w:w="521"/>
        <w:gridCol w:w="607"/>
        <w:gridCol w:w="338"/>
        <w:gridCol w:w="570"/>
        <w:gridCol w:w="570"/>
        <w:gridCol w:w="684"/>
        <w:gridCol w:w="419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</w:t>
            </w:r>
          </w:p>
        </w:tc>
        <w:tc>
          <w:tcPr>
            <w:tcW w:type="dxa" w:w="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фев.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  <w:tc>
          <w:tcPr>
            <w:tcW w:type="dxa" w:w="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апр.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нояб.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декаб.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дал.)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2010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постановлением Правительства КР от </w:t>
      </w:r>
      <w:hyperlink w:history="1" r:id="rIdftg0r_wyngnkkfogqjx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3takj6ma_olf9obbug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2011 года
  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Типовое соглашение о выполнении прогнозного плана производства и реализации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efloftxayltphpftkz9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hzmqb4z0rwin07kan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2014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«___»________   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(далее - ГНС), в лице председателя ________________________, действующего на основании Положения о ГНС, с одной стороны,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пива: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 в лице ____________________________, действующего на основании 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 в лице ________________________, действующего на основании 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(именуемые далее - Производители), с другой стороны, совместно именуемые «Стороны»,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динамику развития алкогольной отрасли как одной из бюджетообразующих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финансово-экономическую и социальную ситуацию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понимая 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объема производства и реализации пива отечественными производителями, выражающихся в качественных и количественных показателях в доле экономики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поступлений в доходную часть государственного бюджета акцизного и других налогов, предусмотренных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заключили настоящее Соглашение о нижеследующем: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apvpp4ta5tyfc30yc3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ГНС создает необходимые условия для обеспечения беспрепятственной деятельности Производителей по увеличению производства и реализации пива,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Производители принимают на себя обязательства по увеличению поступлений в доходную часть государственного бюджета акцизного и других налогов, связанных с производством и реализацией пива в объемах, согласно </w:t>
      </w:r>
      <w:hyperlink w:history="1" r:id="rIda-ljayxfaoi3f2baej8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Стороны берут на себя обязательства, которые будут выполнять на условиях и в сроки, предусмотренные настоящим Соглашением и приложениями, являющимися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Производители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выполнять индивидуальный годовой экономический план объема производства пива, разбитый по месяцам календарного года, согласно </w:t>
      </w:r>
      <w:hyperlink w:history="1" r:id="rIdc_pvy1cocwkfekbl8c-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технологических и иных проблем на заводе Производителя, подтвержденных актом ГНС, допускается отклонение, но не более 20 процентов по выполнению ежемесячного плана производства, которое Производитель восполняет в течение следующего месяца в рамках выполнения общего годового плана производства пива;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своевременно уплачивать суммы акцизного налога в объемах, предусмотренных в приложениях, при этом объем пива, поставленный на экспорт, не учитывается;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ежедекадно предоставлять оперативную информацию по выполнению объема производства пива;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предоставлять в ГНС достоверную информацию и отчетные данные для подведения ежемесячных и ежеквартальных итогов.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Производители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предоставление защиты от необоснованного вмешательства контролирующих и правоохранительных органов в 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направлять представителя для включения в состав рабочей комиссии, создаваемой ГНС, для проверки соблюдения Сторонами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ГНС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осуществлять прием ежедекадной оперативной информации от Производителей, подводить итоги работы на ежемесячной и квартальной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(Утратил силу в соответствии с постановлением Правительства КР от </w:t>
      </w:r>
      <w:hyperlink w:history="1" r:id="rIdmnudodw59qlt8buayb0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z9ebzjzf4i8ztyauax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ГНС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контролировать выполнение объемов производства и реализации пива и своевременной уплаты акцизного налога, создавать рабочую комиссию для выяснения причин невыполнения или ненадлежащего выполнения условий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отозвать лицензию Производителя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(Утратил силу в соответствии с постановлением Правительства КР от </w:t>
      </w:r>
      <w:hyperlink w:history="1" r:id="rIdc10hgzk7tqk5rjvhtc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2014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невыполнения оговоренных настоящим Соглашением объемов производства Производитель лишается лицензии в установленном законом порядке, за исключением случаев, предусмотренных абзацем вторым подпункта а) пункта 2.1. настоящего Соглашения. При этом Производитель обязан в течение 30 календарных дней со дня отзыва лицензии демонтировать заторный чан и хранить его на складе производителя продукции по адресу, указанному 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Сторона освобождается от ответственности за частичное или полное неисполнение обязательств по настоящему Соглашению, если это неисполнение явилось следствием причин непреодолимой силы, то есть чрезвычайных и непредотвратимых при данных условиях обстоятельств, которые Стороны не могли предвидеть и предотвратить разумными мерами.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Непреодолимой силой признаются следующие события: землетрясение, наводнение, пожар, военные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наступлении обстоятельств форс-мажора Сторона обязана известить о них немедленно в письменной форме другую Сторону. Извещение должно содержать данные о характере обстоятельств, а также, по возможности, оценку их влияния на реальность исполнения Стороной своих обязательств по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 прекращению обстоятельств непреодолимой силы Сторона обязана немедленно известить другую Сторону в письменной форме. В извещении должен быть указан срок, в который предполагается исполнить обязательства, предусмотренные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Возникновение вышеуказанных обстоятельств продлевает срок исполнения обязательства по настоящему Соглашению на период, соответствующий сроку действия указанных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Настоящее Соглашение вступает в силу со дня подписания и действует до 31 декабря _______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Настоящее Соглашение может быть расторгнуто по соглашению Сторон. Соглашение может быть расторгнуто с письменного уведомления и прекращает свое действие по истечении двух месяцев со дня направления другой Стороне уведомления о прекращении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(Утратил силу в соответствии с постановлением Правительства КР от </w:t>
      </w:r>
      <w:hyperlink w:history="1" r:id="rId4cw63lnbvp_3gzinus6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Все приложения и последующие изменения к настоящему Соглашению являются его неотъемлемой частью и имеют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Споры и разногласия по настоящему Соглашению урегулируются Сторонами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случае невозможности урегулирования споров путем переговоров, разрешение споров осуществляется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Во всем остальном, что не оговорено в настоящем Соглашении, Стороны руководствуются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Настоящее Соглашение составлено в ________________ экземплярах, по одному для каждой из сторон,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Производители: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Соглашению о выполнении прогнозного
 плана производства и реализации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пива и уплаты акцизного налога на 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395"/>
        <w:gridCol w:w="501"/>
        <w:gridCol w:w="519"/>
        <w:gridCol w:w="529"/>
        <w:gridCol w:w="491"/>
        <w:gridCol w:w="472"/>
        <w:gridCol w:w="462"/>
        <w:gridCol w:w="538"/>
        <w:gridCol w:w="391"/>
        <w:gridCol w:w="576"/>
        <w:gridCol w:w="415"/>
        <w:gridCol w:w="548"/>
        <w:gridCol w:w="411"/>
        <w:gridCol w:w="472"/>
        <w:gridCol w:w="529"/>
        <w:gridCol w:w="491"/>
        <w:gridCol w:w="322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прогноз _______ г.</w:t>
            </w:r>
          </w:p>
        </w:tc>
        <w:tc>
          <w:tcPr>
            <w:tcW w:type="dxa" w:w="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февр.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апр.</w:t>
            </w:r>
          </w:p>
        </w:tc>
        <w:tc>
          <w:tcPr>
            <w:tcW w:type="dxa" w:w="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кв.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</w:t>
            </w:r>
          </w:p>
        </w:tc>
        <w:tc>
          <w:tcPr>
            <w:tcW w:type="dxa" w:w="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</w:t>
            </w:r>
          </w:p>
        </w:tc>
        <w:tc>
          <w:tcPr>
            <w:tcW w:type="dxa" w:w="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нояб.</w:t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</w:t>
            </w:r>
          </w:p>
        </w:tc>
        <w:tc>
          <w:tcPr>
            <w:tcW w:type="dxa" w:w="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пиво (тыс. дал.)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акциз (млн. сом.)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Соглашению о выполнении прогнозного
 плана производства и реализации водки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пива и уплаты акцизного налога на 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7zszehva7dni4mfwnz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2"/>
        <w:gridCol w:w="482"/>
        <w:gridCol w:w="507"/>
        <w:gridCol w:w="513"/>
        <w:gridCol w:w="594"/>
        <w:gridCol w:w="533"/>
        <w:gridCol w:w="533"/>
        <w:gridCol w:w="541"/>
        <w:gridCol w:w="582"/>
        <w:gridCol w:w="413"/>
        <w:gridCol w:w="580"/>
        <w:gridCol w:w="537"/>
        <w:gridCol w:w="558"/>
        <w:gridCol w:w="444"/>
        <w:gridCol w:w="550"/>
        <w:gridCol w:w="570"/>
        <w:gridCol w:w="647"/>
        <w:gridCol w:w="440"/>
      </w:tblGrid>
      <w:tr>
        <w:tc>
          <w:tcPr>
            <w:tcW w:type="dxa" w:w="11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фев.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апр.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нояб.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декаб.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(тыс. дал.)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 (млн. сом.)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c1gaoxtg1ocv7fapwf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(Утратило силу в соответствии с постановлением Правительства КР от </w:t>
      </w:r>
      <w:hyperlink w:history="1" r:id="rId9el4cj6osnsgjyj0hbl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qtpqeyprku_gwnvwruw" Type="http://schemas.openxmlformats.org/officeDocument/2006/relationships/hyperlink" Target="http://kodeks.duckdns.org/document/98547" TargetMode="External"/><Relationship Id="rIdwvjoueenmjxys0xt7kcnu" Type="http://schemas.openxmlformats.org/officeDocument/2006/relationships/hyperlink" Target="http://kodeks.duckdns.org/document/95120" TargetMode="External"/><Relationship Id="rIdi_lfmu9pjpq0bjiuf6wvu" Type="http://schemas.openxmlformats.org/officeDocument/2006/relationships/hyperlink" Target="http://kodeks.duckdns.org/document/93649" TargetMode="External"/><Relationship Id="rIdfnhxnemig9oozwzwbzcgh" Type="http://schemas.openxmlformats.org/officeDocument/2006/relationships/hyperlink" Target="http://kodeks.duckdns.org/document/97038" TargetMode="External"/><Relationship Id="rIdg2exxqhckstthkb2bo0o9" Type="http://schemas.openxmlformats.org/officeDocument/2006/relationships/hyperlink" Target="http://kodeks.duckdns.org/document/92463#p1" TargetMode="External"/><Relationship Id="rIdlxe_en_ek9yypq8dfwirb" Type="http://schemas.openxmlformats.org/officeDocument/2006/relationships/hyperlink" Target="http://kodeks.duckdns.org/document/92463" TargetMode="External"/><Relationship Id="rIdk8yes1wmw2tblzuwfx8af" Type="http://schemas.openxmlformats.org/officeDocument/2006/relationships/hyperlink" Target="http://kodeks.duckdns.org/document/95120" TargetMode="External"/><Relationship Id="rIdranfhuqm1ybzktiabrav_" Type="http://schemas.openxmlformats.org/officeDocument/2006/relationships/hyperlink" Target="http://kodeks.duckdns.org/document/93649" TargetMode="External"/><Relationship Id="rIdxwpwhcc9tcgdsuy__3ye_" Type="http://schemas.openxmlformats.org/officeDocument/2006/relationships/hyperlink" Target="http://kodeks.duckdns.org/document/97038" TargetMode="External"/><Relationship Id="rId37c_yex4stskmusijoari" Type="http://schemas.openxmlformats.org/officeDocument/2006/relationships/hyperlink" Target="http://kodeks.duckdns.org/document/93649" TargetMode="External"/><Relationship Id="rIdlwnwa0wtbkkt_1qebxstr" Type="http://schemas.openxmlformats.org/officeDocument/2006/relationships/hyperlink" Target="http://kodeks.duckdns.org/document/92463#p2" TargetMode="External"/><Relationship Id="rIdsjj03voyjeiie0yibiqcp" Type="http://schemas.openxmlformats.org/officeDocument/2006/relationships/hyperlink" Target="http://kodeks.duckdns.org/document/92463#p3" TargetMode="External"/><Relationship Id="rIduu5cezui_b8cstkior11o" Type="http://schemas.openxmlformats.org/officeDocument/2006/relationships/hyperlink" Target="http://kodeks.duckdns.org/document/92120" TargetMode="External"/><Relationship Id="rIdu0zmoad3eck4sc5qr7y32" Type="http://schemas.openxmlformats.org/officeDocument/2006/relationships/hyperlink" Target="http://kodeks.duckdns.org/document/93649" TargetMode="External"/><Relationship Id="rIdnpztnbgdgxlcyreklb_c9" Type="http://schemas.openxmlformats.org/officeDocument/2006/relationships/hyperlink" Target="http://kodeks.duckdns.org/document/93649" TargetMode="External"/><Relationship Id="rIdxujhlwi-c_kji2nhzn7wo" Type="http://schemas.openxmlformats.org/officeDocument/2006/relationships/hyperlink" Target="http://kodeks.duckdns.org/document/92463#p4" TargetMode="External"/><Relationship Id="rIdq_yu1zj1hnab0b4iawcuq" Type="http://schemas.openxmlformats.org/officeDocument/2006/relationships/hyperlink" Target="http://kodeks.duckdns.org/document/92463#p5" TargetMode="External"/><Relationship Id="rIdzgdyg2t29zwv1ybxg2g_p" Type="http://schemas.openxmlformats.org/officeDocument/2006/relationships/hyperlink" Target="http://kodeks.duckdns.org/document/97038" TargetMode="External"/><Relationship Id="rIdpzrkdrjwajz5vq75ug8gk" Type="http://schemas.openxmlformats.org/officeDocument/2006/relationships/hyperlink" Target="http://kodeks.duckdns.org/document/93649" TargetMode="External"/><Relationship Id="rIdv2kew_wvkmx0u3idwvtuw" Type="http://schemas.openxmlformats.org/officeDocument/2006/relationships/hyperlink" Target="http://kodeks.duckdns.org/document/93649" TargetMode="External"/><Relationship Id="rIdfjblzoplpklb1y0zdulcq" Type="http://schemas.openxmlformats.org/officeDocument/2006/relationships/hyperlink" Target="http://kodeks.duckdns.org/document/93649" TargetMode="External"/><Relationship Id="rIdmpmjo2gqolvn_xmm9x-km" Type="http://schemas.openxmlformats.org/officeDocument/2006/relationships/hyperlink" Target="http://kodeks.duckdns.org/document/93649" TargetMode="External"/><Relationship Id="rId2jvighecuztoiw9ozzu8j" Type="http://schemas.openxmlformats.org/officeDocument/2006/relationships/hyperlink" Target="http://kodeks.duckdns.org/document/93649" TargetMode="External"/><Relationship Id="rIdrouobcvcsbop-czwj0_cy" Type="http://schemas.openxmlformats.org/officeDocument/2006/relationships/hyperlink" Target="http://kodeks.duckdns.org/document/93649" TargetMode="External"/><Relationship Id="rIdftg0r_wyngnkkfogqjx_3" Type="http://schemas.openxmlformats.org/officeDocument/2006/relationships/hyperlink" Target="http://kodeks.duckdns.org/document/93649" TargetMode="External"/><Relationship Id="rIdu3takj6ma_olf9obbugq6" Type="http://schemas.openxmlformats.org/officeDocument/2006/relationships/hyperlink" Target="http://kodeks.duckdns.org/document/92463" TargetMode="External"/><Relationship Id="rIdefloftxayltphpftkz9g7" Type="http://schemas.openxmlformats.org/officeDocument/2006/relationships/hyperlink" Target="http://kodeks.duckdns.org/document/93649" TargetMode="External"/><Relationship Id="rIdwnhzmqb4z0rwin07kanoy" Type="http://schemas.openxmlformats.org/officeDocument/2006/relationships/hyperlink" Target="http://kodeks.duckdns.org/document/97038" TargetMode="External"/><Relationship Id="rIdgapvpp4ta5tyfc30yc3nt" Type="http://schemas.openxmlformats.org/officeDocument/2006/relationships/hyperlink" Target="http://kodeks.duckdns.org/document/93649" TargetMode="External"/><Relationship Id="rIda-ljayxfaoi3f2baej8dy" Type="http://schemas.openxmlformats.org/officeDocument/2006/relationships/hyperlink" Target="http://kodeks.duckdns.org/document/92463#p10" TargetMode="External"/><Relationship Id="rIdc_pvy1cocwkfekbl8c-kw" Type="http://schemas.openxmlformats.org/officeDocument/2006/relationships/hyperlink" Target="http://kodeks.duckdns.org/document/92463#p20" TargetMode="External"/><Relationship Id="rIdmnudodw59qlt8buayb0fy" Type="http://schemas.openxmlformats.org/officeDocument/2006/relationships/hyperlink" Target="http://kodeks.duckdns.org/document/93649" TargetMode="External"/><Relationship Id="rId9z9ebzjzf4i8ztyauaxnl" Type="http://schemas.openxmlformats.org/officeDocument/2006/relationships/hyperlink" Target="http://kodeks.duckdns.org/document/93649" TargetMode="External"/><Relationship Id="rIdc10hgzk7tqk5rjvhtcmns" Type="http://schemas.openxmlformats.org/officeDocument/2006/relationships/hyperlink" Target="http://kodeks.duckdns.org/document/97038" TargetMode="External"/><Relationship Id="rId4cw63lnbvp_3gzinus6ar" Type="http://schemas.openxmlformats.org/officeDocument/2006/relationships/hyperlink" Target="http://kodeks.duckdns.org/document/93649" TargetMode="External"/><Relationship Id="rIdm7zszehva7dni4mfwnzy7" Type="http://schemas.openxmlformats.org/officeDocument/2006/relationships/hyperlink" Target="http://kodeks.duckdns.org/document/93649" TargetMode="External"/><Relationship Id="rIdfc1gaoxtg1ocv7fapwfpp" Type="http://schemas.openxmlformats.org/officeDocument/2006/relationships/hyperlink" Target="http://kodeks.duckdns.org/document/93649" TargetMode="External"/><Relationship Id="rId9el4cj6osnsgjyj0hbls0" Type="http://schemas.openxmlformats.org/officeDocument/2006/relationships/hyperlink" Target="http://kodeks.duckdns.org/document/93649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2026-09-23T15:15:33.108Z</dcterms:created>
  <dcterms:modified xsi:type="dcterms:W3CDTF">2026-09-23T15:15:33.108Z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