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rnrmq1707l8uyj3pjgtz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2011 года № 84  </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w:t>
      </w:r>
      <w:hyperlink w:history="1" r:id="rId51plwpceaxe6gsiv16ap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mtv7cxike8_5d49l6twr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w:t>
      </w:r>
      <w:hyperlink w:history="1" r:id="rIdtl0ixgagliyjtutructw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d7214gsjeosfr9jjcls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2011 года № 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изменений и дополнений в </w:t>
      </w:r>
      <w:hyperlink w:history="1" r:id="rIdfsvblanxmdheinm515sf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инициированный депутатами Жогорку Кенеша Кыргызской Республики Жапаровым А.У., Абдрахмановым О.А., Кангельдиевым А.Н., Алтыбаевой А.Т., Бекбоевым З.И., Гусаровым И.К., Маматовым Б.А., Джумалиевым Э.Б., Обдуновым Э.А., Мурашевым Н.М., Салимовым Т.А., Жоошбековым З.С., Суракматовым А.С., и руководствуясь </w:t>
      </w:r>
      <w:r>
        <w:rPr>
          <w:rFonts w:ascii="Arial" w:cs="Arial" w:eastAsia="Arial" w:hAnsi="Arial"/>
          <w:sz w:val="24"/>
          <w:szCs w:val="24"/>
        </w:rPr>
        <w:t xml:space="preserve">статьей 34</w:t>
      </w:r>
      <w:r>
        <w:rPr>
          <w:rFonts w:ascii="Arial" w:cs="Arial" w:eastAsia="Arial" w:hAnsi="Arial"/>
          <w:sz w:val="24"/>
          <w:szCs w:val="24"/>
        </w:rPr>
        <w:t xml:space="preserve"> </w:t>
      </w:r>
      <w:hyperlink w:history="1" r:id="rIdboisje1shxfjie28vrwh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отмечает следующее.</w:t>
      </w:r>
    </w:p>
    <w:p>
      <w:pPr>
        <w:spacing w:after="120"/>
        <w:jc w:val="both"/>
      </w:pPr>
      <w:r>
        <w:rPr>
          <w:rFonts w:ascii="Arial" w:cs="Arial" w:eastAsia="Arial" w:hAnsi="Arial"/>
          <w:sz w:val="24"/>
          <w:szCs w:val="24"/>
        </w:rPr>
        <w:t xml:space="preserve">Представленный проект Закона предусматривает изменения бюджетных процедур, а также порядка формирования, структуры и деятельности Координационного совета по макроэкономической и инвестиционной политике при Правительстве Кыргызской Республики (далее - Координационный совет).</w:t>
      </w:r>
    </w:p>
    <w:p>
      <w:pPr>
        <w:spacing w:after="120"/>
        <w:jc w:val="both"/>
      </w:pPr>
      <w:r>
        <w:rPr>
          <w:rFonts w:ascii="Arial" w:cs="Arial" w:eastAsia="Arial" w:hAnsi="Arial"/>
          <w:sz w:val="24"/>
          <w:szCs w:val="24"/>
        </w:rPr>
        <w:t xml:space="preserve">В частности, предусматривается осуществление бюджетных полномочий, планирования капитальных вложений из республиканского бюджета, проверок составления и исполнения республиканского и местных бюджетов, исполнения по росписи доходов и расходов по согласованию с профильным комитетом Жогорку Кенеша Кыргызской Республики, ведающим вопросами бюджета.</w:t>
      </w:r>
    </w:p>
    <w:p>
      <w:pPr>
        <w:spacing w:after="120"/>
        <w:jc w:val="both"/>
      </w:pPr>
      <w:r>
        <w:rPr>
          <w:rFonts w:ascii="Arial" w:cs="Arial" w:eastAsia="Arial" w:hAnsi="Arial"/>
          <w:sz w:val="24"/>
          <w:szCs w:val="24"/>
        </w:rPr>
        <w:t xml:space="preserve">Кроме этого, рассматриваемым проектом Закона меняется статус Координационного совета, путем вывода его из ведения Правительства Кыргызской Республики. При этом, возглавляет Координационный совет Премьер-министр Кыргызской Республики, а председатель профильного комитета Жогорку Кенеша Кыргызской Республики, ведающего вопросами финансов и бюджета, является его сопредседателем. Также устанавливается, что состав Координационного совета определяет Жогорку Кенеш Кыргызской Республики.</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статье 88 </w:t>
      </w:r>
      <w:hyperlink w:history="1" r:id="rId92eqoqcql59pasegkkvm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разрабатывает и представляет Жогорку Кенешу Кыргызской Республики республиканский бюджет и обеспечивает его исполнение, а также представляет Жогорку Кенешу Кыргызской Республики отчет об исполнении республиканского бюджета.</w:t>
      </w:r>
    </w:p>
    <w:p>
      <w:pPr>
        <w:spacing w:after="120"/>
        <w:jc w:val="both"/>
      </w:pPr>
      <w:r>
        <w:rPr>
          <w:rFonts w:ascii="Arial" w:cs="Arial" w:eastAsia="Arial" w:hAnsi="Arial"/>
          <w:sz w:val="24"/>
          <w:szCs w:val="24"/>
        </w:rPr>
        <w:t xml:space="preserve">В свою очередь, в соответствии со </w:t>
      </w:r>
      <w:r>
        <w:rPr>
          <w:rFonts w:ascii="Arial" w:cs="Arial" w:eastAsia="Arial" w:hAnsi="Arial"/>
          <w:sz w:val="24"/>
          <w:szCs w:val="24"/>
        </w:rPr>
        <w:t xml:space="preserve">статьей 74</w:t>
      </w:r>
      <w:r>
        <w:rPr>
          <w:rFonts w:ascii="Arial" w:cs="Arial" w:eastAsia="Arial" w:hAnsi="Arial"/>
          <w:sz w:val="24"/>
          <w:szCs w:val="24"/>
        </w:rPr>
        <w:t xml:space="preserve"> </w:t>
      </w:r>
      <w:hyperlink w:history="1" r:id="rId2l1--9kduw3olhc0ufw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Жогорку Кенеш Кыргызской Республики утверждает республиканский бюджет и отчет о его исполнении.</w:t>
      </w:r>
    </w:p>
    <w:p>
      <w:pPr>
        <w:spacing w:after="120"/>
        <w:jc w:val="both"/>
      </w:pPr>
      <w:r>
        <w:rPr>
          <w:rFonts w:ascii="Arial" w:cs="Arial" w:eastAsia="Arial" w:hAnsi="Arial"/>
          <w:sz w:val="24"/>
          <w:szCs w:val="24"/>
        </w:rPr>
        <w:t xml:space="preserve">Вышеуказанные конституционные нормы также закреплены в </w:t>
      </w:r>
      <w:r>
        <w:rPr>
          <w:rFonts w:ascii="Arial" w:cs="Arial" w:eastAsia="Arial" w:hAnsi="Arial"/>
          <w:sz w:val="24"/>
          <w:szCs w:val="24"/>
        </w:rPr>
        <w:t xml:space="preserve">статье 2</w:t>
      </w:r>
      <w:r>
        <w:rPr>
          <w:rFonts w:ascii="Arial" w:cs="Arial" w:eastAsia="Arial" w:hAnsi="Arial"/>
          <w:sz w:val="24"/>
          <w:szCs w:val="24"/>
        </w:rPr>
        <w:t xml:space="preserve"> </w:t>
      </w:r>
      <w:hyperlink w:history="1" r:id="rIdb5szf4jemvf2lqbatwer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согласно которой республиканский бюджет составляется и исполняется Правительством Кыргызской Республики. Республиканский бюджет рассматривается и утверждается Жогорку Кенешем Кыргызской Республики.</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статье 5</w:t>
      </w:r>
      <w:r>
        <w:rPr>
          <w:rFonts w:ascii="Arial" w:cs="Arial" w:eastAsia="Arial" w:hAnsi="Arial"/>
          <w:sz w:val="24"/>
          <w:szCs w:val="24"/>
        </w:rPr>
        <w:t xml:space="preserve"> вышеназванного Закона, бюджетное регулирование и прогнозирование являются составной частью регулирования экономики и прогнозирования социально-экономического развития Кыргызской Республики. Правительство Кыргызской Республики, органы местного самоуправления проводят единую бюджетно-финансовую политику.</w:t>
      </w:r>
    </w:p>
    <w:p>
      <w:pPr>
        <w:spacing w:after="120"/>
        <w:jc w:val="both"/>
      </w:pPr>
      <w:r>
        <w:rPr>
          <w:rFonts w:ascii="Arial" w:cs="Arial" w:eastAsia="Arial" w:hAnsi="Arial"/>
          <w:sz w:val="24"/>
          <w:szCs w:val="24"/>
        </w:rPr>
        <w:t xml:space="preserve">В этой связи отмечаем, что </w:t>
      </w:r>
      <w:hyperlink w:history="1" r:id="rId2uluqssvb7rlm7jgoutb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определен исчерпывающий перечень полномочий Жогорку Кенеша Кыргызской Республики, который не может быть расширен ординарными законами государства, при этом полномочий по определению Жогорку Кенешем Кыргызской Республики состава Координационного совета в Конституции Кыргызской Республики не предусмотрено.</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статьями 3</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hyperlink w:history="1" r:id="rId2sbadggy9fyjdnhjzdxl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государственная власть в Кыргызской Республике основывается на принципах разделения государственной власти, а государство, его органы, органы местного самоуправления и их должностные лица не могут выходить за рамки полномочий, определенных Конституцией и законами.</w:t>
      </w:r>
    </w:p>
    <w:p>
      <w:pPr>
        <w:spacing w:after="120"/>
        <w:jc w:val="both"/>
      </w:pPr>
      <w:r>
        <w:rPr>
          <w:rFonts w:ascii="Arial" w:cs="Arial" w:eastAsia="Arial" w:hAnsi="Arial"/>
          <w:sz w:val="24"/>
          <w:szCs w:val="24"/>
        </w:rPr>
        <w:t xml:space="preserve">Согласно статье 88 </w:t>
      </w:r>
      <w:hyperlink w:history="1" r:id="rId2vwsx8gvrwtxplu7xuvu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разрабатывает и реализует общегосударственные программы экономического развития, а также обеспечивает проведение финансовой, ценовой, тарифной инвестиционной и налоговой политики.</w:t>
      </w:r>
    </w:p>
    <w:p>
      <w:pPr>
        <w:spacing w:after="120"/>
        <w:jc w:val="both"/>
      </w:pPr>
      <w:r>
        <w:rPr>
          <w:rFonts w:ascii="Arial" w:cs="Arial" w:eastAsia="Arial" w:hAnsi="Arial"/>
          <w:sz w:val="24"/>
          <w:szCs w:val="24"/>
        </w:rPr>
        <w:t xml:space="preserve">Координационный совет является совещательным органом, обеспечивающим координацию действий ключевых министерств, государственных комитетов и административных ведомств по осуществлению экономической политики. </w:t>
      </w:r>
      <w:r>
        <w:rPr>
          <w:rFonts w:ascii="Arial" w:cs="Arial" w:eastAsia="Arial" w:hAnsi="Arial"/>
          <w:sz w:val="24"/>
          <w:szCs w:val="24"/>
        </w:rPr>
        <w:t xml:space="preserve">Статьей 89</w:t>
      </w:r>
      <w:r>
        <w:rPr>
          <w:rFonts w:ascii="Arial" w:cs="Arial" w:eastAsia="Arial" w:hAnsi="Arial"/>
          <w:sz w:val="24"/>
          <w:szCs w:val="24"/>
        </w:rPr>
        <w:t xml:space="preserve"> </w:t>
      </w:r>
      <w:hyperlink w:history="1" r:id="rId3q0_gfy8bb5a4us0ajed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Премьер-министр руководит Правительством и обеспечивает исполнение законов всеми органами исполнительной власти, в том числе и законов о республиканском бюджете.</w:t>
      </w:r>
    </w:p>
    <w:p>
      <w:pPr>
        <w:spacing w:after="120"/>
        <w:jc w:val="both"/>
      </w:pPr>
      <w:r>
        <w:rPr>
          <w:rFonts w:ascii="Arial" w:cs="Arial" w:eastAsia="Arial" w:hAnsi="Arial"/>
          <w:sz w:val="24"/>
          <w:szCs w:val="24"/>
        </w:rPr>
        <w:t xml:space="preserve">В связи с вышеизложенным Правительство Кыргызской Республики считает нецелесообразным принятие проекта Закона Кыргызской Республики, инициируемого группой депутатов Жогорку Кенеша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nrmq1707l8uyj3pjgtzi" Type="http://schemas.openxmlformats.org/officeDocument/2006/relationships/hyperlink" Target="http://kodeks.duckdns.org/document/159126" TargetMode="External"/><Relationship Id="rId51plwpceaxe6gsiv16apw" Type="http://schemas.openxmlformats.org/officeDocument/2006/relationships/hyperlink" Target="http://kodeks.duckdns.org/document/202913" TargetMode="External"/><Relationship Id="rIdmtv7cxike8_5d49l6twrl" Type="http://schemas.openxmlformats.org/officeDocument/2006/relationships/hyperlink" Target="http://kodeks.duckdns.org/document/92486#p1" TargetMode="External"/><Relationship Id="rIdtl0ixgagliyjtutructwm" Type="http://schemas.openxmlformats.org/officeDocument/2006/relationships/hyperlink" Target="http://kodeks.duckdns.org/document/86" TargetMode="External"/><Relationship Id="rIdd7214gsjeosfr9jjclsic" Type="http://schemas.openxmlformats.org/officeDocument/2006/relationships/hyperlink" Target="http://kodeks.duckdns.org/document/92486" TargetMode="External"/><Relationship Id="rIdfsvblanxmdheinm515sf6" Type="http://schemas.openxmlformats.org/officeDocument/2006/relationships/hyperlink" Target="http://kodeks.duckdns.org/document/86" TargetMode="External"/><Relationship Id="rIdboisje1shxfjie28vrwhb" Type="http://schemas.openxmlformats.org/officeDocument/2006/relationships/hyperlink" Target="http://kodeks.duckdns.org/document/1754" TargetMode="External"/><Relationship Id="rId92eqoqcql59pasegkkvmg" Type="http://schemas.openxmlformats.org/officeDocument/2006/relationships/hyperlink" Target="http://kodeks.duckdns.org/document/202913" TargetMode="External"/><Relationship Id="rId2l1--9kduw3olhc0ufwk-" Type="http://schemas.openxmlformats.org/officeDocument/2006/relationships/hyperlink" Target="http://kodeks.duckdns.org/document/202913" TargetMode="External"/><Relationship Id="rIdb5szf4jemvf2lqbatwert" Type="http://schemas.openxmlformats.org/officeDocument/2006/relationships/hyperlink" Target="http://kodeks.duckdns.org/document/86" TargetMode="External"/><Relationship Id="rId2uluqssvb7rlm7jgoutb0" Type="http://schemas.openxmlformats.org/officeDocument/2006/relationships/hyperlink" Target="http://kodeks.duckdns.org/document/202913" TargetMode="External"/><Relationship Id="rId2sbadggy9fyjdnhjzdxlz" Type="http://schemas.openxmlformats.org/officeDocument/2006/relationships/hyperlink" Target="http://kodeks.duckdns.org/document/202913" TargetMode="External"/><Relationship Id="rId2vwsx8gvrwtxplu7xuvud" Type="http://schemas.openxmlformats.org/officeDocument/2006/relationships/hyperlink" Target="http://kodeks.duckdns.org/document/202913" TargetMode="External"/><Relationship Id="rId3q0_gfy8bb5a4us0ajedy"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2026-09-23T11:05:51.949Z</dcterms:created>
  <dcterms:modified xsi:type="dcterms:W3CDTF">2026-09-23T11:05:51.949Z</dcterms:modified>
</cp:coreProperties>
</file>

<file path=docProps/custom.xml><?xml version="1.0" encoding="utf-8"?>
<Properties xmlns="http://schemas.openxmlformats.org/officeDocument/2006/custom-properties" xmlns:vt="http://schemas.openxmlformats.org/officeDocument/2006/docPropsVTypes"/>
</file>